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55"/>
        <w:tblW w:w="0" w:type="auto"/>
        <w:tblLook w:val="04A0" w:firstRow="1" w:lastRow="0" w:firstColumn="1" w:lastColumn="0" w:noHBand="0" w:noVBand="1"/>
      </w:tblPr>
      <w:tblGrid>
        <w:gridCol w:w="1292"/>
        <w:gridCol w:w="3511"/>
        <w:gridCol w:w="3523"/>
        <w:gridCol w:w="3510"/>
        <w:gridCol w:w="3508"/>
        <w:gridCol w:w="3514"/>
        <w:gridCol w:w="3506"/>
      </w:tblGrid>
      <w:tr w:rsidR="005E0FEC" w:rsidTr="00CF1602">
        <w:tc>
          <w:tcPr>
            <w:tcW w:w="1292" w:type="dxa"/>
          </w:tcPr>
          <w:p w:rsidR="005E0FEC" w:rsidRDefault="005E0FEC" w:rsidP="00CF1602"/>
        </w:tc>
        <w:tc>
          <w:tcPr>
            <w:tcW w:w="3511" w:type="dxa"/>
          </w:tcPr>
          <w:p w:rsidR="004E5EBD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1</w:t>
            </w:r>
          </w:p>
        </w:tc>
        <w:tc>
          <w:tcPr>
            <w:tcW w:w="3523" w:type="dxa"/>
          </w:tcPr>
          <w:p w:rsidR="005E0FEC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2</w:t>
            </w:r>
          </w:p>
        </w:tc>
        <w:tc>
          <w:tcPr>
            <w:tcW w:w="3510" w:type="dxa"/>
          </w:tcPr>
          <w:p w:rsidR="005E0FEC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1</w:t>
            </w:r>
          </w:p>
        </w:tc>
        <w:tc>
          <w:tcPr>
            <w:tcW w:w="3508" w:type="dxa"/>
          </w:tcPr>
          <w:p w:rsidR="005E0FEC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2</w:t>
            </w:r>
          </w:p>
        </w:tc>
        <w:tc>
          <w:tcPr>
            <w:tcW w:w="3514" w:type="dxa"/>
          </w:tcPr>
          <w:p w:rsidR="005E0FEC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1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5E0FEC" w:rsidRPr="007147EB" w:rsidRDefault="005E0FEC" w:rsidP="00CF1602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2</w:t>
            </w:r>
          </w:p>
        </w:tc>
      </w:tr>
      <w:tr w:rsidR="00094492" w:rsidTr="00CF1602">
        <w:tc>
          <w:tcPr>
            <w:tcW w:w="1292" w:type="dxa"/>
          </w:tcPr>
          <w:p w:rsidR="00094492" w:rsidRPr="007147EB" w:rsidRDefault="00094492" w:rsidP="00CF1602">
            <w:pPr>
              <w:jc w:val="center"/>
              <w:rPr>
                <w:rFonts w:ascii="NTFPrint" w:hAnsi="NTFPrint"/>
                <w:b/>
                <w:sz w:val="20"/>
                <w:u w:val="single"/>
              </w:rPr>
            </w:pPr>
            <w:r>
              <w:rPr>
                <w:rFonts w:ascii="NTFPrint" w:hAnsi="NTFPrint"/>
                <w:b/>
                <w:sz w:val="36"/>
                <w:u w:val="single"/>
              </w:rPr>
              <w:t>Year 5</w:t>
            </w:r>
          </w:p>
        </w:tc>
        <w:tc>
          <w:tcPr>
            <w:tcW w:w="3511" w:type="dxa"/>
            <w:shd w:val="clear" w:color="auto" w:fill="CCCCFF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(God)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Guidance, Lord’s Prayer, sin, temptation, forgive, right and wrong, truth, free will, reconciliation, confession, greed, selfishness, temptation, consequences, disobey</w:t>
            </w:r>
          </w:p>
          <w:p w:rsidR="00094492" w:rsidRPr="007F2673" w:rsidRDefault="00094492" w:rsidP="00CF1602">
            <w:pPr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66FF99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Islam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Law, The Night of Power (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Laylat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 xml:space="preserve">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Ul-Qadr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 xml:space="preserve">), divine revelation, advice,  Prophet Muhammad, Ultimate Authority, Abrahamic faiths (Judaism, Christianity and Islam), respect, govern, seal of the Prophets 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99FF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Hindu dharma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Krishna, Holi, atman, incarnation, devotion, symbolism of colour, equality, Namaste, loyalty, traditions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  <w:p w:rsidR="00094492" w:rsidRPr="007F2673" w:rsidRDefault="00094492" w:rsidP="00CF1602">
            <w:pPr>
              <w:pStyle w:val="BodyText"/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CCCCFF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(Jesus)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Miracle, pilgrimage, Jesus as God incarnate, divine, resurrection, Holy Land, miraculous events</w:t>
            </w:r>
          </w:p>
        </w:tc>
        <w:tc>
          <w:tcPr>
            <w:tcW w:w="3514" w:type="dxa"/>
            <w:shd w:val="clear" w:color="auto" w:fill="CCCCFF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Christianity</w:t>
            </w:r>
          </w:p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(Church)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Source of authority, Trinity, shared statement of belief,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Taize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>, Worldwide Christian Church, ultimate authority, united in diversity, different forms of Christian worship (Anglican/Catholic/Salvation Army/Quaker/Pentecostal)</w:t>
            </w:r>
          </w:p>
        </w:tc>
        <w:tc>
          <w:tcPr>
            <w:tcW w:w="3506" w:type="dxa"/>
            <w:tcBorders>
              <w:bottom w:val="nil"/>
            </w:tcBorders>
            <w:shd w:val="clear" w:color="auto" w:fill="FFFF66"/>
          </w:tcPr>
          <w:p w:rsidR="00094492" w:rsidRPr="007F2673" w:rsidRDefault="00094492" w:rsidP="00CF1602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Judaism</w:t>
            </w:r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Organisations, Torah, synagogue, covenant, Rabbi, religious and moral teachings,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Bimah</w:t>
            </w:r>
            <w:proofErr w:type="spellEnd"/>
          </w:p>
          <w:p w:rsidR="00094492" w:rsidRPr="007F2673" w:rsidRDefault="00094492" w:rsidP="00CF1602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</w:tr>
      <w:tr w:rsidR="005E0FEC" w:rsidTr="00CF1602">
        <w:trPr>
          <w:trHeight w:val="3902"/>
        </w:trPr>
        <w:tc>
          <w:tcPr>
            <w:tcW w:w="1292" w:type="dxa"/>
          </w:tcPr>
          <w:p w:rsidR="005E0FEC" w:rsidRPr="00EF271B" w:rsidRDefault="005E0FEC" w:rsidP="00CF1602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1" w:type="dxa"/>
          </w:tcPr>
          <w:p w:rsidR="00FE15B3" w:rsidRDefault="0048452B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F63CA1" w:rsidRPr="00F63CA1">
              <w:rPr>
                <w:rFonts w:ascii="NTFPrint" w:hAnsi="NTFPrint"/>
                <w:color w:val="FF0000"/>
                <w:sz w:val="24"/>
                <w:szCs w:val="24"/>
              </w:rPr>
              <w:t>Describe Christian beliefs about sin and forgiveness</w:t>
            </w:r>
          </w:p>
          <w:p w:rsidR="00F63CA1" w:rsidRDefault="00F63CA1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F63CA1">
              <w:rPr>
                <w:rFonts w:ascii="NTFPrint" w:hAnsi="NTFPrint"/>
                <w:color w:val="FF0000"/>
                <w:sz w:val="24"/>
                <w:szCs w:val="24"/>
              </w:rPr>
              <w:t>Describe and explain the teaching from Genesis 3 - of how Adam and Even disobeyed God</w:t>
            </w:r>
          </w:p>
          <w:p w:rsidR="00987766" w:rsidRPr="0048452B" w:rsidRDefault="00987766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FE15B3" w:rsidRDefault="00987766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proofErr w:type="spellStart"/>
            <w:r w:rsidR="00F63CA1" w:rsidRPr="00F63CA1">
              <w:rPr>
                <w:rFonts w:ascii="NTFPrint" w:hAnsi="NTFPrint"/>
                <w:color w:val="00B050"/>
                <w:sz w:val="24"/>
                <w:szCs w:val="24"/>
              </w:rPr>
              <w:t>Analyse</w:t>
            </w:r>
            <w:proofErr w:type="spellEnd"/>
            <w:r w:rsidR="00F63CA1" w:rsidRPr="00F63CA1">
              <w:rPr>
                <w:rFonts w:ascii="NTFPrint" w:hAnsi="NTFPrint"/>
                <w:color w:val="00B050"/>
                <w:sz w:val="24"/>
                <w:szCs w:val="24"/>
              </w:rPr>
              <w:t xml:space="preserve"> and interpret the Lord's Prayer - and what guidance it provides for Christians</w:t>
            </w:r>
          </w:p>
          <w:p w:rsidR="00F63CA1" w:rsidRDefault="00F63CA1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Pr="00F63CA1">
              <w:rPr>
                <w:rFonts w:ascii="NTFPrint" w:hAnsi="NTFPrint"/>
                <w:color w:val="00B050"/>
                <w:sz w:val="24"/>
                <w:szCs w:val="24"/>
              </w:rPr>
              <w:t>Suggest things that might lead Christians into temptation in the modern world - and how and why they might try to resist these temptations</w:t>
            </w:r>
          </w:p>
          <w:p w:rsidR="00987766" w:rsidRPr="0048452B" w:rsidRDefault="00987766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48452B" w:rsidRDefault="0048452B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F63CA1" w:rsidRPr="00F63CA1">
              <w:rPr>
                <w:rFonts w:ascii="NTFPrint" w:hAnsi="NTFPrint"/>
                <w:color w:val="FFC000"/>
                <w:sz w:val="24"/>
                <w:szCs w:val="24"/>
              </w:rPr>
              <w:t>Consider the different ways that myth and stories are and used - explaining how a 'truth' might be told within a story</w:t>
            </w:r>
          </w:p>
          <w:p w:rsidR="00FE15B3" w:rsidRPr="0048452B" w:rsidRDefault="00FE15B3" w:rsidP="00CF1602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48452B" w:rsidRPr="0048452B" w:rsidRDefault="0048452B" w:rsidP="00CF1602">
            <w:pPr>
              <w:pStyle w:val="TableParagraph"/>
              <w:spacing w:line="276" w:lineRule="auto"/>
              <w:ind w:left="0"/>
              <w:rPr>
                <w:sz w:val="19"/>
              </w:rPr>
            </w:pPr>
            <w:r w:rsidRPr="0048452B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F63CA1" w:rsidRPr="00F63CA1">
              <w:rPr>
                <w:rFonts w:ascii="NTFPrint" w:hAnsi="NTFPrint"/>
                <w:color w:val="0070C0"/>
                <w:sz w:val="24"/>
                <w:szCs w:val="24"/>
              </w:rPr>
              <w:t>Consider how they decide what is 'true' - and how there might be different types of truth</w:t>
            </w:r>
          </w:p>
        </w:tc>
        <w:tc>
          <w:tcPr>
            <w:tcW w:w="3523" w:type="dxa"/>
          </w:tcPr>
          <w:p w:rsidR="00987766" w:rsidRDefault="00A55EE8" w:rsidP="00CF1602">
            <w:pPr>
              <w:spacing w:line="276" w:lineRule="auto"/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F63CA1" w:rsidRPr="00F63CA1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Explain how and why the Qur'an is a source of guidance for Muslims - explaining the impact of believing the Qur'an is divine revelation</w:t>
            </w:r>
          </w:p>
          <w:p w:rsidR="00F63CA1" w:rsidRDefault="00F63CA1" w:rsidP="00CF1602">
            <w:pPr>
              <w:spacing w:line="276" w:lineRule="auto"/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</w:pPr>
            <w:r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 xml:space="preserve">- </w:t>
            </w:r>
            <w:r w:rsidR="00EA643B" w:rsidRPr="00EA643B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Describe and explain what Muslims believe when they describe Muhammad (</w:t>
            </w:r>
            <w:proofErr w:type="spellStart"/>
            <w:r w:rsidR="00EA643B" w:rsidRPr="00EA643B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pbuh</w:t>
            </w:r>
            <w:proofErr w:type="spellEnd"/>
            <w:r w:rsidR="00EA643B" w:rsidRPr="00EA643B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) as the seal of the prophets</w:t>
            </w:r>
          </w:p>
          <w:p w:rsidR="00EA643B" w:rsidRPr="00A55EE8" w:rsidRDefault="00EA643B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Default="00A55EE8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EA643B" w:rsidRPr="00EA643B">
              <w:rPr>
                <w:rFonts w:ascii="NTFPrint" w:hAnsi="NTFPrint"/>
                <w:color w:val="00B050"/>
                <w:sz w:val="24"/>
                <w:szCs w:val="24"/>
              </w:rPr>
              <w:t>Explain how the teachings of the Qur'an might influence the actions and choices of a Muslim</w:t>
            </w:r>
          </w:p>
          <w:p w:rsidR="00FE15B3" w:rsidRPr="00A55EE8" w:rsidRDefault="00FE15B3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FE15B3" w:rsidRDefault="00A55EE8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EA643B" w:rsidRPr="00EA643B">
              <w:rPr>
                <w:rFonts w:ascii="NTFPrint" w:hAnsi="NTFPrint"/>
                <w:color w:val="FFC000"/>
                <w:sz w:val="24"/>
                <w:szCs w:val="24"/>
              </w:rPr>
              <w:t>Discuss where people might look to for guidance about how to live - consider a range of sources of wisdom and authority</w:t>
            </w:r>
          </w:p>
          <w:p w:rsidR="00EA643B" w:rsidRDefault="00EA643B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D957B2" w:rsidRPr="00A55EE8" w:rsidRDefault="00D957B2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Default="00A55EE8" w:rsidP="00CF1602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EA643B" w:rsidRPr="00EA643B">
              <w:rPr>
                <w:rFonts w:ascii="NTFPrint" w:hAnsi="NTFPrint"/>
                <w:color w:val="0070C0"/>
                <w:sz w:val="24"/>
                <w:szCs w:val="24"/>
              </w:rPr>
              <w:t>Discuss who or what has guided them in their own beliefs, values and commitments</w:t>
            </w:r>
          </w:p>
          <w:p w:rsidR="000524BE" w:rsidRPr="00A55EE8" w:rsidRDefault="000524BE" w:rsidP="00CF1602">
            <w:pPr>
              <w:pStyle w:val="TableParagraph"/>
              <w:spacing w:before="9" w:line="276" w:lineRule="auto"/>
              <w:ind w:left="0"/>
            </w:pPr>
            <w:r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EA643B" w:rsidRPr="00EA643B">
              <w:rPr>
                <w:rFonts w:ascii="NTFPrint" w:hAnsi="NTFPrint"/>
                <w:color w:val="0070C0"/>
                <w:sz w:val="24"/>
                <w:szCs w:val="24"/>
              </w:rPr>
              <w:t>Reflect on what 'ultimate authority' might mean for them</w:t>
            </w:r>
          </w:p>
        </w:tc>
        <w:tc>
          <w:tcPr>
            <w:tcW w:w="3510" w:type="dxa"/>
          </w:tcPr>
          <w:p w:rsidR="00FE15B3" w:rsidRDefault="00A55EE8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EA643B" w:rsidRPr="00EA643B">
              <w:rPr>
                <w:rFonts w:ascii="NTFPrint" w:hAnsi="NTFPrint"/>
                <w:color w:val="FF0000"/>
                <w:sz w:val="24"/>
                <w:szCs w:val="24"/>
              </w:rPr>
              <w:t>Explain Hindu beliefs about Krishna and what stories about Krishna might teach Hindus</w:t>
            </w:r>
          </w:p>
          <w:p w:rsidR="00EA643B" w:rsidRPr="00A55EE8" w:rsidRDefault="00EA643B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Pr="00A55EE8" w:rsidRDefault="00A55EE8" w:rsidP="00CF1602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CC0D9C" w:rsidRPr="00CC0D9C">
              <w:rPr>
                <w:rFonts w:ascii="NTFPrint" w:hAnsi="NTFPrint"/>
                <w:color w:val="00B050"/>
                <w:sz w:val="24"/>
                <w:szCs w:val="24"/>
              </w:rPr>
              <w:t>Describe and explain what the festival of Holi is and suggest why there might be differences in how festivals are celebrated in India and the UK</w:t>
            </w:r>
          </w:p>
          <w:p w:rsidR="00FE15B3" w:rsidRPr="00A55EE8" w:rsidRDefault="00FE15B3" w:rsidP="00CF1602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FE15B3" w:rsidRDefault="00A55EE8" w:rsidP="00CF1602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CC0D9C" w:rsidRPr="00CC0D9C">
              <w:rPr>
                <w:rFonts w:ascii="NTFPrint" w:hAnsi="NTFPrint"/>
                <w:color w:val="FFC000"/>
                <w:sz w:val="24"/>
                <w:szCs w:val="24"/>
              </w:rPr>
              <w:t>Explain how festivals and celebrations can be ways for communities and societies to pass on values, guidance and traditions</w:t>
            </w:r>
          </w:p>
          <w:p w:rsidR="000524BE" w:rsidRPr="00A55EE8" w:rsidRDefault="000524BE" w:rsidP="00CF1602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CC0D9C" w:rsidRDefault="00CC0D9C" w:rsidP="00CF1602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Pr="00CC0D9C">
              <w:rPr>
                <w:rFonts w:ascii="NTFPrint" w:hAnsi="NTFPrint"/>
                <w:color w:val="0070C0"/>
                <w:sz w:val="24"/>
                <w:szCs w:val="24"/>
              </w:rPr>
              <w:t>Consider different types of truth (e.g. empirical truth, historical truth, spiritual truth)</w:t>
            </w:r>
          </w:p>
          <w:p w:rsidR="00A55EE8" w:rsidRPr="00A55EE8" w:rsidRDefault="00A55EE8" w:rsidP="00CF1602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C0D9C" w:rsidRPr="00CC0D9C">
              <w:rPr>
                <w:rFonts w:ascii="NTFPrint" w:hAnsi="NTFPrint"/>
                <w:color w:val="0070C0"/>
                <w:sz w:val="24"/>
                <w:szCs w:val="24"/>
              </w:rPr>
              <w:t>Discuss and debate things that they consider to be true that others might disagree with</w:t>
            </w:r>
          </w:p>
          <w:p w:rsidR="00A55EE8" w:rsidRPr="00A55EE8" w:rsidRDefault="00A55EE8" w:rsidP="00CF1602">
            <w:pPr>
              <w:rPr>
                <w:rFonts w:cs="Arial"/>
                <w:color w:val="FFC000"/>
                <w:sz w:val="20"/>
                <w:szCs w:val="20"/>
              </w:rPr>
            </w:pPr>
          </w:p>
          <w:p w:rsidR="005E0FEC" w:rsidRPr="000E46CA" w:rsidRDefault="005E0FEC" w:rsidP="00CF1602">
            <w:pPr>
              <w:rPr>
                <w:rFonts w:ascii="NTFPrint" w:hAnsi="NTFPrint" w:cs="Arial"/>
              </w:rPr>
            </w:pPr>
          </w:p>
        </w:tc>
        <w:tc>
          <w:tcPr>
            <w:tcW w:w="3508" w:type="dxa"/>
          </w:tcPr>
          <w:p w:rsidR="00FE15B3" w:rsidRDefault="00A55EE8" w:rsidP="00CF1602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 xml:space="preserve">- </w:t>
            </w:r>
            <w:r w:rsidR="00DA3626" w:rsidRPr="00DA3626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DA3626">
              <w:t xml:space="preserve"> </w:t>
            </w:r>
            <w:r w:rsidR="00002461" w:rsidRPr="00002461">
              <w:rPr>
                <w:rFonts w:ascii="NTFPrint" w:hAnsi="NTFPrint"/>
                <w:color w:val="FF0000"/>
                <w:sz w:val="24"/>
                <w:szCs w:val="24"/>
              </w:rPr>
              <w:t>Retell a selection of miracle stories - and explain what these might reveal to Christians about the nature of Jesus</w:t>
            </w:r>
          </w:p>
          <w:p w:rsidR="000524BE" w:rsidRPr="00A55EE8" w:rsidRDefault="000524BE" w:rsidP="00CF1602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</w:p>
          <w:p w:rsidR="00FE15B3" w:rsidRDefault="00A55EE8" w:rsidP="00CF1602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 </w:t>
            </w:r>
            <w:r w:rsidR="00002461" w:rsidRPr="00002461">
              <w:rPr>
                <w:rFonts w:ascii="NTFPrint" w:hAnsi="NTFPrint" w:cs="Arial"/>
                <w:color w:val="00B050"/>
                <w:sz w:val="24"/>
                <w:szCs w:val="24"/>
              </w:rPr>
              <w:t>Describe why some Christians might go on pilgrimage to places associated with miraculous events - and the impact this could have on prayer</w:t>
            </w:r>
          </w:p>
          <w:p w:rsidR="00DA3626" w:rsidRPr="00A55EE8" w:rsidRDefault="00DA3626" w:rsidP="00CF1602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  <w:p w:rsidR="00A55EE8" w:rsidRPr="00A55EE8" w:rsidRDefault="00A55EE8" w:rsidP="00CF1602">
            <w:pPr>
              <w:spacing w:line="276" w:lineRule="auto"/>
              <w:rPr>
                <w:rFonts w:ascii="NTFPrint" w:hAnsi="NTFPrint" w:cs="Arial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002461" w:rsidRPr="00002461">
              <w:rPr>
                <w:rFonts w:ascii="NTFPrint" w:hAnsi="NTFPrint"/>
                <w:color w:val="FFC000"/>
                <w:sz w:val="24"/>
                <w:szCs w:val="24"/>
              </w:rPr>
              <w:t>Explain the difference between fact, opinion and belief  and consider differing interpretations of the word miracle</w:t>
            </w:r>
          </w:p>
          <w:p w:rsidR="00FE15B3" w:rsidRPr="00A55EE8" w:rsidRDefault="00FE15B3" w:rsidP="00CF1602">
            <w:pPr>
              <w:spacing w:line="276" w:lineRule="auto"/>
              <w:jc w:val="both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Default="00A55EE8" w:rsidP="00CF1602">
            <w:pPr>
              <w:jc w:val="both"/>
              <w:rPr>
                <w:sz w:val="18"/>
                <w:szCs w:val="18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002461" w:rsidRPr="00002461">
              <w:rPr>
                <w:rFonts w:ascii="NTFPrint" w:hAnsi="NTFPrint"/>
                <w:color w:val="0070C0"/>
                <w:sz w:val="24"/>
                <w:szCs w:val="24"/>
              </w:rPr>
              <w:t>Reflect on how they make decisions about what is/is not true and discuss their own beliefs</w:t>
            </w:r>
          </w:p>
          <w:p w:rsidR="00A55EE8" w:rsidRPr="00A55EE8" w:rsidRDefault="00A55EE8" w:rsidP="00CF1602">
            <w:pPr>
              <w:jc w:val="both"/>
              <w:rPr>
                <w:rFonts w:ascii="NTFPrint" w:hAnsi="NTFPrint" w:cs="Arial"/>
                <w:b/>
              </w:rPr>
            </w:pPr>
          </w:p>
        </w:tc>
        <w:tc>
          <w:tcPr>
            <w:tcW w:w="3514" w:type="dxa"/>
          </w:tcPr>
          <w:p w:rsidR="00A55EE8" w:rsidRDefault="00A55EE8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002461" w:rsidRPr="00002461">
              <w:rPr>
                <w:rFonts w:ascii="NTFPrint" w:hAnsi="NTFPrint"/>
                <w:color w:val="FF0000"/>
                <w:sz w:val="24"/>
                <w:szCs w:val="24"/>
              </w:rPr>
              <w:t>Describe what Christians mean when they talk about one God in Trinity</w:t>
            </w:r>
          </w:p>
          <w:p w:rsidR="00002461" w:rsidRDefault="00002461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002461">
              <w:rPr>
                <w:rFonts w:ascii="NTFPrint" w:hAnsi="NTFPrint"/>
                <w:color w:val="FF0000"/>
                <w:sz w:val="24"/>
                <w:szCs w:val="24"/>
              </w:rPr>
              <w:t>Identify the beliefs contained within the Apostle's Creed</w:t>
            </w:r>
          </w:p>
          <w:p w:rsidR="00DA3626" w:rsidRPr="00FE15B3" w:rsidRDefault="00DA3626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CF1602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002461" w:rsidRPr="00002461">
              <w:rPr>
                <w:rFonts w:ascii="NTFPrint" w:hAnsi="NTFPrint"/>
                <w:color w:val="00B050"/>
                <w:sz w:val="24"/>
                <w:szCs w:val="24"/>
              </w:rPr>
              <w:t>Describe and explain the meaning of symbols used for the Trinity and explain how symbols can unite the worldwide Christian Church</w:t>
            </w:r>
          </w:p>
          <w:p w:rsidR="00002461" w:rsidRPr="00FE15B3" w:rsidRDefault="00002461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CF1602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6B77E6" w:rsidRPr="006B77E6">
              <w:rPr>
                <w:rFonts w:ascii="NTFPrint" w:hAnsi="NTFPrint"/>
                <w:color w:val="FFC000"/>
                <w:sz w:val="24"/>
                <w:szCs w:val="24"/>
              </w:rPr>
              <w:t>Consider what is meant by sources of authority and discuss different responses to them</w:t>
            </w:r>
          </w:p>
          <w:p w:rsidR="00DA3626" w:rsidRPr="00FE15B3" w:rsidRDefault="00DA3626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Pr="000E46CA" w:rsidRDefault="00FE15B3" w:rsidP="00CF1602">
            <w:pPr>
              <w:spacing w:line="276" w:lineRule="auto"/>
              <w:rPr>
                <w:rFonts w:ascii="NTFPrint" w:hAnsi="NTFPrint" w:cs="Arial"/>
                <w:i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6B77E6" w:rsidRPr="006B77E6">
              <w:rPr>
                <w:rFonts w:ascii="NTFPrint" w:hAnsi="NTFPrint"/>
                <w:color w:val="0070C0"/>
                <w:sz w:val="24"/>
                <w:szCs w:val="24"/>
              </w:rPr>
              <w:t>Differentiate between questions that can be answered factually and those that have a range of answers, including personal beliefs and values</w:t>
            </w: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FE15B3" w:rsidRDefault="00FE15B3" w:rsidP="00CF1602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6B77E6" w:rsidRPr="006B77E6">
              <w:rPr>
                <w:rFonts w:ascii="NTFPrint" w:hAnsi="NTFPrint"/>
                <w:color w:val="FF0000"/>
                <w:sz w:val="24"/>
                <w:szCs w:val="24"/>
              </w:rPr>
              <w:t xml:space="preserve">Make links between Jewish beliefs and the sacred text (The Torah), including how and why religious sources are used to teach and guide believers </w:t>
            </w:r>
          </w:p>
          <w:p w:rsidR="006B77E6" w:rsidRPr="00FE15B3" w:rsidRDefault="006B77E6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Default="00FE15B3" w:rsidP="00CF1602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6B77E6" w:rsidRPr="006B77E6">
              <w:rPr>
                <w:rFonts w:ascii="NTFPrint" w:hAnsi="NTFPrint"/>
                <w:color w:val="00B050"/>
                <w:sz w:val="24"/>
                <w:szCs w:val="24"/>
              </w:rPr>
              <w:t>Interpret the deeper meaning of symbolism - contained in stories, images and actions</w:t>
            </w:r>
          </w:p>
          <w:p w:rsidR="006B77E6" w:rsidRPr="00FE15B3" w:rsidRDefault="006B77E6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C63CAB" w:rsidRDefault="00FE15B3" w:rsidP="00CF1602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6B77E6" w:rsidRPr="006B77E6">
              <w:rPr>
                <w:rFonts w:ascii="NTFPrint" w:hAnsi="NTFPrint"/>
                <w:color w:val="FFC000"/>
                <w:sz w:val="24"/>
                <w:szCs w:val="24"/>
              </w:rPr>
              <w:t>Explain where people might seek wisdom and guidance and consider how rules can unite communities</w:t>
            </w:r>
          </w:p>
          <w:p w:rsidR="006B77E6" w:rsidRPr="00FE15B3" w:rsidRDefault="006B77E6" w:rsidP="00CF1602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0E46CA" w:rsidRDefault="00FE15B3" w:rsidP="00CF1602">
            <w:pPr>
              <w:spacing w:line="276" w:lineRule="auto"/>
              <w:rPr>
                <w:rFonts w:ascii="NTFPrint" w:hAnsi="NTFPrint" w:cs="Arial"/>
                <w:b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6B77E6" w:rsidRPr="006B77E6">
              <w:rPr>
                <w:rFonts w:ascii="NTFPrint" w:hAnsi="NTFPrint"/>
                <w:color w:val="0070C0"/>
                <w:sz w:val="24"/>
                <w:szCs w:val="24"/>
              </w:rPr>
              <w:t>Discuss, debate and consider the values of different sources of guidance</w:t>
            </w:r>
          </w:p>
        </w:tc>
      </w:tr>
      <w:tr w:rsidR="00C2349E" w:rsidTr="00CF1602">
        <w:trPr>
          <w:trHeight w:val="513"/>
        </w:trPr>
        <w:tc>
          <w:tcPr>
            <w:tcW w:w="22364" w:type="dxa"/>
            <w:gridSpan w:val="7"/>
          </w:tcPr>
          <w:p w:rsidR="00C2349E" w:rsidRPr="00FE15B3" w:rsidRDefault="00C2349E" w:rsidP="00CF1602">
            <w:pPr>
              <w:jc w:val="center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2E1DE6">
              <w:rPr>
                <w:rFonts w:ascii="NTFPrint" w:hAnsi="NTFPrint"/>
                <w:color w:val="000000" w:themeColor="text1"/>
                <w:sz w:val="40"/>
                <w:szCs w:val="24"/>
              </w:rPr>
              <w:t>Recall and use specific religious vocabulary accurately (year group key vocabulary)</w:t>
            </w:r>
          </w:p>
        </w:tc>
      </w:tr>
    </w:tbl>
    <w:p w:rsidR="00053433" w:rsidRPr="00FA2994" w:rsidRDefault="00FA2994" w:rsidP="00FA2994">
      <w:pPr>
        <w:pStyle w:val="NoSpacing"/>
        <w:jc w:val="center"/>
        <w:rPr>
          <w:rFonts w:ascii="NTFPrint" w:hAnsi="NTFPrint"/>
          <w:b/>
          <w:sz w:val="40"/>
          <w:u w:val="single"/>
        </w:rPr>
      </w:pPr>
      <w:r w:rsidRPr="00FA2994">
        <w:rPr>
          <w:rFonts w:ascii="NTFPrint" w:hAnsi="NTFPrint"/>
          <w:b/>
          <w:sz w:val="40"/>
          <w:u w:val="single"/>
        </w:rPr>
        <w:t>RE NON NEGIOTABLES</w:t>
      </w:r>
      <w:r w:rsidR="00094492">
        <w:rPr>
          <w:rFonts w:ascii="NTFPrint" w:hAnsi="NTFPrint"/>
          <w:b/>
          <w:sz w:val="40"/>
          <w:u w:val="single"/>
        </w:rPr>
        <w:t xml:space="preserve"> – YEAR 5</w:t>
      </w:r>
    </w:p>
    <w:p w:rsidR="00FA2994" w:rsidRDefault="00FA299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F1602" w:rsidRDefault="00CF1602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F1602" w:rsidRDefault="00CF1602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F1602" w:rsidRDefault="00CF1602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48452B" w:rsidRPr="0048452B" w:rsidRDefault="0048452B" w:rsidP="0048452B">
      <w:pPr>
        <w:pStyle w:val="NoSpacing"/>
        <w:jc w:val="center"/>
        <w:rPr>
          <w:rFonts w:ascii="NTFPrint" w:hAnsi="NTFPrint"/>
          <w:b/>
          <w:sz w:val="36"/>
        </w:rPr>
      </w:pPr>
      <w:bookmarkStart w:id="0" w:name="_GoBack"/>
      <w:bookmarkEnd w:id="0"/>
      <w:r w:rsidRPr="0048452B">
        <w:rPr>
          <w:rFonts w:ascii="NTFPrint" w:hAnsi="NTFPrint"/>
          <w:b/>
          <w:color w:val="FF0000"/>
          <w:sz w:val="36"/>
        </w:rPr>
        <w:t>BELIEFS AND VALUES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B050"/>
          <w:sz w:val="36"/>
        </w:rPr>
        <w:t>LIVING RELIGIOUS TRADITIONS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FFC000"/>
          <w:sz w:val="36"/>
        </w:rPr>
        <w:t>SHARED HUMAN EXPERIENCE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70C0"/>
          <w:sz w:val="36"/>
        </w:rPr>
        <w:t>SEARCH FOR PERSONAL MEANING</w:t>
      </w:r>
    </w:p>
    <w:sectPr w:rsidR="0048452B" w:rsidRPr="0048452B" w:rsidSect="003E00BE">
      <w:headerReference w:type="default" r:id="rId8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B6" w:rsidRDefault="006A45B6" w:rsidP="00AB754B">
      <w:pPr>
        <w:spacing w:after="0" w:line="240" w:lineRule="auto"/>
      </w:pPr>
      <w:r>
        <w:separator/>
      </w:r>
    </w:p>
  </w:endnote>
  <w:endnote w:type="continuationSeparator" w:id="0">
    <w:p w:rsidR="006A45B6" w:rsidRDefault="006A45B6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B6" w:rsidRDefault="006A45B6" w:rsidP="00AB754B">
      <w:pPr>
        <w:spacing w:after="0" w:line="240" w:lineRule="auto"/>
      </w:pPr>
      <w:r>
        <w:separator/>
      </w:r>
    </w:p>
  </w:footnote>
  <w:footnote w:type="continuationSeparator" w:id="0">
    <w:p w:rsidR="006A45B6" w:rsidRDefault="006A45B6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:rsidR="00BA1E69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</w:r>
  </w:p>
  <w:p w:rsidR="00BA1E69" w:rsidRDefault="00BA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B"/>
    <w:rsid w:val="00002461"/>
    <w:rsid w:val="000524BE"/>
    <w:rsid w:val="00053433"/>
    <w:rsid w:val="00094492"/>
    <w:rsid w:val="000A2A89"/>
    <w:rsid w:val="000E46CA"/>
    <w:rsid w:val="000F4C97"/>
    <w:rsid w:val="0011725D"/>
    <w:rsid w:val="00124F93"/>
    <w:rsid w:val="001D323C"/>
    <w:rsid w:val="0021258D"/>
    <w:rsid w:val="0022788D"/>
    <w:rsid w:val="00240B85"/>
    <w:rsid w:val="00250741"/>
    <w:rsid w:val="00263D3F"/>
    <w:rsid w:val="0027581B"/>
    <w:rsid w:val="002E5F5B"/>
    <w:rsid w:val="00305CAF"/>
    <w:rsid w:val="00340328"/>
    <w:rsid w:val="0036246F"/>
    <w:rsid w:val="003B054C"/>
    <w:rsid w:val="003E00BE"/>
    <w:rsid w:val="00424ACC"/>
    <w:rsid w:val="00482125"/>
    <w:rsid w:val="0048452B"/>
    <w:rsid w:val="00491393"/>
    <w:rsid w:val="004966CF"/>
    <w:rsid w:val="004E5EBD"/>
    <w:rsid w:val="0052158B"/>
    <w:rsid w:val="005479E6"/>
    <w:rsid w:val="005A1D06"/>
    <w:rsid w:val="005B7B75"/>
    <w:rsid w:val="005E0FEC"/>
    <w:rsid w:val="00614179"/>
    <w:rsid w:val="006A45B6"/>
    <w:rsid w:val="006B77E6"/>
    <w:rsid w:val="007147EB"/>
    <w:rsid w:val="0073226F"/>
    <w:rsid w:val="007754F3"/>
    <w:rsid w:val="007C15D8"/>
    <w:rsid w:val="007F0135"/>
    <w:rsid w:val="00822A12"/>
    <w:rsid w:val="00835267"/>
    <w:rsid w:val="00850901"/>
    <w:rsid w:val="00862F5E"/>
    <w:rsid w:val="008C24B0"/>
    <w:rsid w:val="00907714"/>
    <w:rsid w:val="0091573D"/>
    <w:rsid w:val="009250EA"/>
    <w:rsid w:val="009666B2"/>
    <w:rsid w:val="00987766"/>
    <w:rsid w:val="009B7704"/>
    <w:rsid w:val="009F7B0B"/>
    <w:rsid w:val="00A55EE8"/>
    <w:rsid w:val="00A83CE3"/>
    <w:rsid w:val="00AB754B"/>
    <w:rsid w:val="00B14569"/>
    <w:rsid w:val="00BA1E69"/>
    <w:rsid w:val="00C002D5"/>
    <w:rsid w:val="00C2349E"/>
    <w:rsid w:val="00C358F1"/>
    <w:rsid w:val="00C63CAB"/>
    <w:rsid w:val="00C8029A"/>
    <w:rsid w:val="00CC0D9C"/>
    <w:rsid w:val="00CC41EA"/>
    <w:rsid w:val="00CD0579"/>
    <w:rsid w:val="00CF1602"/>
    <w:rsid w:val="00D14552"/>
    <w:rsid w:val="00D957B2"/>
    <w:rsid w:val="00DA3626"/>
    <w:rsid w:val="00DB1168"/>
    <w:rsid w:val="00E5333B"/>
    <w:rsid w:val="00E9267C"/>
    <w:rsid w:val="00EA643B"/>
    <w:rsid w:val="00EB40B9"/>
    <w:rsid w:val="00EF271B"/>
    <w:rsid w:val="00F127C7"/>
    <w:rsid w:val="00F63CA1"/>
    <w:rsid w:val="00F75E47"/>
    <w:rsid w:val="00FA2994"/>
    <w:rsid w:val="00FC105D"/>
    <w:rsid w:val="00FE15B3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AAC7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8452B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48452B"/>
    <w:rPr>
      <w:rFonts w:ascii="Arial" w:eastAsia="Times New Roman" w:hAnsi="Arial" w:cs="Times New Roman"/>
      <w:sz w:val="12"/>
      <w:szCs w:val="20"/>
    </w:rPr>
  </w:style>
  <w:style w:type="paragraph" w:customStyle="1" w:styleId="TableParagraph">
    <w:name w:val="Table Paragraph"/>
    <w:basedOn w:val="Normal"/>
    <w:uiPriority w:val="1"/>
    <w:qFormat/>
    <w:rsid w:val="0048452B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C1D928A7-376B-41F1-99B5-989800998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CDD8A-15D3-4E14-8CD4-414ACF114C75}"/>
</file>

<file path=customXml/itemProps3.xml><?xml version="1.0" encoding="utf-8"?>
<ds:datastoreItem xmlns:ds="http://schemas.openxmlformats.org/officeDocument/2006/customXml" ds:itemID="{1401E479-4D90-444F-959D-A19B2640EBBD}"/>
</file>

<file path=customXml/itemProps4.xml><?xml version="1.0" encoding="utf-8"?>
<ds:datastoreItem xmlns:ds="http://schemas.openxmlformats.org/officeDocument/2006/customXml" ds:itemID="{676F67B7-2CA1-4181-8193-9BC993BF6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Patino Claire</cp:lastModifiedBy>
  <cp:revision>5</cp:revision>
  <cp:lastPrinted>2020-04-28T19:03:00Z</cp:lastPrinted>
  <dcterms:created xsi:type="dcterms:W3CDTF">2020-05-25T11:36:00Z</dcterms:created>
  <dcterms:modified xsi:type="dcterms:W3CDTF">2020-05-26T07:34:00Z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167600</vt:r8>
  </property>
</Properties>
</file>