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8E" w:rsidRPr="00CA4B33" w:rsidRDefault="00933A8E" w:rsidP="00BD695F">
      <w:pPr>
        <w:pStyle w:val="NoSpacing"/>
        <w:rPr>
          <w:rFonts w:ascii="Arial" w:hAnsi="Arial" w:cs="Arial"/>
          <w:sz w:val="32"/>
          <w:szCs w:val="32"/>
        </w:rPr>
      </w:pPr>
      <w:r w:rsidRPr="00CA4B33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B33">
        <w:rPr>
          <w:rFonts w:ascii="Arial" w:hAnsi="Arial" w:cs="Arial"/>
          <w:sz w:val="32"/>
          <w:szCs w:val="32"/>
        </w:rPr>
        <w:t>LONGTON LANE PRIMARY SCHOOL</w:t>
      </w:r>
    </w:p>
    <w:p w:rsidR="00933A8E" w:rsidRPr="00CA4B33" w:rsidRDefault="00933A8E" w:rsidP="00BD695F">
      <w:pPr>
        <w:rPr>
          <w:rFonts w:ascii="Bradley Hand ITC" w:hAnsi="Bradley Hand ITC" w:cs="Arial"/>
          <w:i/>
          <w:color w:val="FF0000"/>
        </w:rPr>
      </w:pPr>
      <w:r w:rsidRPr="00126C25">
        <w:rPr>
          <w:rFonts w:ascii="NTFPreCursivef" w:hAnsi="NTFPreCursivef" w:cs="Arial"/>
        </w:rPr>
        <w:tab/>
      </w:r>
      <w:r w:rsidRPr="00126C25">
        <w:rPr>
          <w:rFonts w:ascii="NTFPreCursivef" w:hAnsi="NTFPreCursivef" w:cs="Arial"/>
        </w:rPr>
        <w:tab/>
        <w:t xml:space="preserve">                                      </w:t>
      </w:r>
      <w:r w:rsidRPr="00CA4B33">
        <w:rPr>
          <w:rFonts w:ascii="Bradley Hand ITC" w:hAnsi="Bradley Hand ITC" w:cs="Arial"/>
          <w:i/>
          <w:color w:val="FF0000"/>
        </w:rPr>
        <w:t>‘Believe and Achieve’</w:t>
      </w:r>
    </w:p>
    <w:p w:rsidR="00AB7D81" w:rsidRPr="00126C25" w:rsidRDefault="00AB7D81" w:rsidP="00BD695F">
      <w:pPr>
        <w:rPr>
          <w:rFonts w:ascii="NTFPreCursivef" w:hAnsi="NTFPreCursivef"/>
        </w:rPr>
      </w:pPr>
    </w:p>
    <w:p w:rsidR="00933A8E" w:rsidRPr="00502F9B" w:rsidRDefault="00651C76" w:rsidP="00BD695F">
      <w:pPr>
        <w:jc w:val="center"/>
        <w:rPr>
          <w:rFonts w:ascii="NTFPreCursivef" w:hAnsi="NTFPreCursivef"/>
          <w:b/>
          <w:sz w:val="32"/>
          <w:szCs w:val="32"/>
          <w:u w:val="single"/>
        </w:rPr>
      </w:pPr>
      <w:r>
        <w:rPr>
          <w:rFonts w:ascii="NTFPreCursivef" w:hAnsi="NTFPreCursivef"/>
          <w:b/>
          <w:sz w:val="32"/>
          <w:szCs w:val="32"/>
          <w:u w:val="single"/>
        </w:rPr>
        <w:t>PSHE</w:t>
      </w:r>
      <w:r w:rsidR="00933A8E" w:rsidRPr="00502F9B">
        <w:rPr>
          <w:rFonts w:ascii="NTFPreCursivef" w:hAnsi="NTFPreCursivef"/>
          <w:b/>
          <w:sz w:val="32"/>
          <w:szCs w:val="32"/>
          <w:u w:val="single"/>
        </w:rPr>
        <w:t xml:space="preserve"> Curriculum Key </w:t>
      </w:r>
      <w:r w:rsidR="009D5D6B">
        <w:rPr>
          <w:rFonts w:ascii="NTFPreCursivef" w:hAnsi="NTFPreCursivef"/>
          <w:b/>
          <w:sz w:val="32"/>
          <w:szCs w:val="32"/>
          <w:u w:val="single"/>
        </w:rPr>
        <w:t>Vocabulary</w:t>
      </w:r>
      <w:r w:rsidR="00933A8E" w:rsidRPr="00502F9B">
        <w:rPr>
          <w:rFonts w:ascii="NTFPreCursivef" w:hAnsi="NTFPreCursivef"/>
          <w:b/>
          <w:sz w:val="32"/>
          <w:szCs w:val="32"/>
          <w:u w:val="single"/>
        </w:rPr>
        <w:t xml:space="preserve"> Y1-Y6</w:t>
      </w:r>
    </w:p>
    <w:tbl>
      <w:tblPr>
        <w:tblStyle w:val="TableGrid"/>
        <w:tblW w:w="22530" w:type="dxa"/>
        <w:tblInd w:w="137" w:type="dxa"/>
        <w:tblLook w:val="04A0" w:firstRow="1" w:lastRow="0" w:firstColumn="1" w:lastColumn="0" w:noHBand="0" w:noVBand="1"/>
      </w:tblPr>
      <w:tblGrid>
        <w:gridCol w:w="1701"/>
        <w:gridCol w:w="3402"/>
        <w:gridCol w:w="3541"/>
        <w:gridCol w:w="3405"/>
        <w:gridCol w:w="3538"/>
        <w:gridCol w:w="3408"/>
        <w:gridCol w:w="3535"/>
      </w:tblGrid>
      <w:tr w:rsidR="00651C76" w:rsidRPr="00126C25" w:rsidTr="00651C76">
        <w:trPr>
          <w:trHeight w:val="411"/>
        </w:trPr>
        <w:tc>
          <w:tcPr>
            <w:tcW w:w="1701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</w:p>
        </w:tc>
        <w:tc>
          <w:tcPr>
            <w:tcW w:w="3402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1</w:t>
            </w:r>
          </w:p>
        </w:tc>
        <w:tc>
          <w:tcPr>
            <w:tcW w:w="3541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2</w:t>
            </w:r>
          </w:p>
        </w:tc>
        <w:tc>
          <w:tcPr>
            <w:tcW w:w="3405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3</w:t>
            </w:r>
          </w:p>
        </w:tc>
        <w:tc>
          <w:tcPr>
            <w:tcW w:w="3538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4</w:t>
            </w:r>
          </w:p>
        </w:tc>
        <w:tc>
          <w:tcPr>
            <w:tcW w:w="3408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5</w:t>
            </w:r>
          </w:p>
        </w:tc>
        <w:tc>
          <w:tcPr>
            <w:tcW w:w="3535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6</w:t>
            </w:r>
          </w:p>
        </w:tc>
      </w:tr>
      <w:tr w:rsidR="00CA5D27" w:rsidRPr="00651C76" w:rsidTr="00651C76">
        <w:trPr>
          <w:trHeight w:val="1942"/>
        </w:trPr>
        <w:tc>
          <w:tcPr>
            <w:tcW w:w="1701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Belonging to a community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CA5D27" w:rsidRPr="003D192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Rules, needs, care, living things, environment, recycling</w:t>
            </w:r>
          </w:p>
        </w:tc>
        <w:tc>
          <w:tcPr>
            <w:tcW w:w="3541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Groups, belong, role, rights, responsibility, community, equal, different</w:t>
            </w:r>
          </w:p>
        </w:tc>
        <w:tc>
          <w:tcPr>
            <w:tcW w:w="3405" w:type="dxa"/>
            <w:shd w:val="clear" w:color="auto" w:fill="BDD6EE" w:themeFill="accent5" w:themeFillTint="66"/>
          </w:tcPr>
          <w:p w:rsidR="00CA5D27" w:rsidRPr="00651C76" w:rsidRDefault="00333F44" w:rsidP="00CA5D27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Freedom, laws, responsibility, </w:t>
            </w:r>
            <w:r w:rsidR="00E117F8">
              <w:rPr>
                <w:rFonts w:ascii="NTFPreCursive" w:hAnsi="NTFPreCursive"/>
                <w:sz w:val="20"/>
                <w:szCs w:val="20"/>
              </w:rPr>
              <w:t>consequences, human rights,</w:t>
            </w:r>
          </w:p>
        </w:tc>
        <w:tc>
          <w:tcPr>
            <w:tcW w:w="3538" w:type="dxa"/>
            <w:shd w:val="clear" w:color="auto" w:fill="BDD6EE" w:themeFill="accent5" w:themeFillTint="66"/>
          </w:tcPr>
          <w:p w:rsidR="00CA5D27" w:rsidRPr="00C3271A" w:rsidRDefault="00333F44" w:rsidP="00CA5D27">
            <w:pPr>
              <w:jc w:val="both"/>
              <w:rPr>
                <w:rFonts w:ascii="NTFPreCursivef" w:hAnsi="NTFPreCursivef"/>
                <w:sz w:val="20"/>
                <w:szCs w:val="20"/>
                <w:lang w:eastAsia="en-US"/>
              </w:rPr>
            </w:pPr>
            <w:r>
              <w:rPr>
                <w:rFonts w:ascii="NTFPreCursivef" w:hAnsi="NTFPreCursivef"/>
                <w:sz w:val="20"/>
                <w:szCs w:val="20"/>
                <w:lang w:eastAsia="en-US"/>
              </w:rPr>
              <w:t>Community, shared re</w:t>
            </w:r>
            <w:r w:rsidR="00E117F8">
              <w:rPr>
                <w:rFonts w:ascii="NTFPreCursivef" w:hAnsi="NTFPreCursivef"/>
                <w:sz w:val="20"/>
                <w:szCs w:val="20"/>
                <w:lang w:eastAsia="en-US"/>
              </w:rPr>
              <w:t>s</w:t>
            </w:r>
            <w:r>
              <w:rPr>
                <w:rFonts w:ascii="NTFPreCursivef" w:hAnsi="NTFPreCursivef"/>
                <w:sz w:val="20"/>
                <w:szCs w:val="20"/>
                <w:lang w:eastAsia="en-US"/>
              </w:rPr>
              <w:t>ponsibility</w:t>
            </w:r>
            <w:r w:rsidR="00E117F8">
              <w:rPr>
                <w:rFonts w:ascii="NTFPreCursivef" w:hAnsi="NTFPreCursivef"/>
                <w:sz w:val="20"/>
                <w:szCs w:val="20"/>
                <w:lang w:eastAsia="en-US"/>
              </w:rPr>
              <w:t>, compassion, contribution</w:t>
            </w:r>
          </w:p>
        </w:tc>
        <w:tc>
          <w:tcPr>
            <w:tcW w:w="3408" w:type="dxa"/>
            <w:shd w:val="clear" w:color="auto" w:fill="BDD6EE" w:themeFill="accent5" w:themeFillTint="66"/>
          </w:tcPr>
          <w:p w:rsidR="00CA5D27" w:rsidRPr="00C3271A" w:rsidRDefault="00CA5D27" w:rsidP="00CA5D27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>
              <w:rPr>
                <w:rFonts w:ascii="NTFPreCursivef" w:hAnsi="NTFPreCursivef"/>
                <w:sz w:val="20"/>
                <w:szCs w:val="20"/>
                <w:lang w:eastAsia="en-US"/>
              </w:rPr>
              <w:t>compassion, shared responsibility, spending decisions</w:t>
            </w:r>
          </w:p>
          <w:p w:rsidR="00CA5D27" w:rsidRPr="00C3271A" w:rsidRDefault="00CA5D27" w:rsidP="00CA5D27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shd w:val="clear" w:color="auto" w:fill="BDD6EE" w:themeFill="accent5" w:themeFillTint="66"/>
          </w:tcPr>
          <w:p w:rsidR="00CA5D27" w:rsidRDefault="00CA5D27" w:rsidP="00CA5D27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>
              <w:rPr>
                <w:rFonts w:ascii="NTFPreCursivef" w:hAnsi="NTFPreCursivef"/>
                <w:sz w:val="20"/>
                <w:szCs w:val="20"/>
                <w:lang w:eastAsia="en-US"/>
              </w:rPr>
              <w:t>prejudice, discrimination, stereotypes,</w:t>
            </w:r>
          </w:p>
          <w:p w:rsidR="00CA5D27" w:rsidRPr="00333F44" w:rsidRDefault="00333F44" w:rsidP="00333F44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Lato-Light"/>
                <w:sz w:val="18"/>
                <w:szCs w:val="18"/>
              </w:rPr>
            </w:pPr>
            <w:r>
              <w:rPr>
                <w:rFonts w:ascii="NTFPreCursivef" w:hAnsi="NTFPreCursivef" w:cs="Lato-Light"/>
                <w:sz w:val="18"/>
                <w:szCs w:val="18"/>
              </w:rPr>
              <w:t>diversity</w:t>
            </w:r>
          </w:p>
        </w:tc>
      </w:tr>
      <w:tr w:rsidR="00CA5D27" w:rsidRPr="00651C76" w:rsidTr="00651C76">
        <w:trPr>
          <w:trHeight w:val="1276"/>
        </w:trPr>
        <w:tc>
          <w:tcPr>
            <w:tcW w:w="1701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Respecting ourselves and others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Kind, unkind, behaviour, actions, feelings, respect, polite, share, turn taking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Common, classmates, similar, situation, sharing, important, listening, understanding</w:t>
            </w:r>
          </w:p>
        </w:tc>
        <w:tc>
          <w:tcPr>
            <w:tcW w:w="3405" w:type="dxa"/>
            <w:shd w:val="clear" w:color="auto" w:fill="FFE599" w:themeFill="accent4" w:themeFillTint="66"/>
          </w:tcPr>
          <w:p w:rsidR="00CA5D27" w:rsidRPr="00651C76" w:rsidRDefault="00333F44" w:rsidP="00CA5D27">
            <w:pPr>
              <w:tabs>
                <w:tab w:val="left" w:pos="1030"/>
              </w:tabs>
              <w:jc w:val="both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Respectful, self-respect, courtesy,</w:t>
            </w:r>
            <w:r w:rsidR="00E117F8">
              <w:rPr>
                <w:rFonts w:ascii="NTFPreCursive" w:hAnsi="NTFPreCursive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:rsidR="00CA5D27" w:rsidRPr="002A1130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Differences, similarities</w:t>
            </w:r>
            <w:r w:rsidR="00E117F8">
              <w:rPr>
                <w:rFonts w:ascii="NTFPreCursive" w:hAnsi="NTFPreCursive"/>
                <w:sz w:val="20"/>
                <w:szCs w:val="20"/>
              </w:rPr>
              <w:t xml:space="preserve">, </w:t>
            </w:r>
            <w:r w:rsidR="00EA734E">
              <w:rPr>
                <w:rFonts w:ascii="NTFPreCursive" w:hAnsi="NTFPreCursive"/>
                <w:sz w:val="20"/>
                <w:szCs w:val="20"/>
              </w:rPr>
              <w:t>traditions, beliefs</w:t>
            </w:r>
          </w:p>
        </w:tc>
        <w:tc>
          <w:tcPr>
            <w:tcW w:w="3408" w:type="dxa"/>
            <w:shd w:val="clear" w:color="auto" w:fill="FFE599" w:themeFill="accent4" w:themeFillTint="66"/>
          </w:tcPr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equality, lifestyle, discrimination, </w:t>
            </w:r>
            <w:r>
              <w:rPr>
                <w:rFonts w:ascii="NTFPreCursivef" w:hAnsi="NTFPreCursivef" w:cs="Lato-Light"/>
                <w:sz w:val="20"/>
                <w:szCs w:val="20"/>
              </w:rPr>
              <w:t xml:space="preserve">trolling, harassment, </w:t>
            </w:r>
            <w:r w:rsidRPr="002716CB">
              <w:rPr>
                <w:rFonts w:ascii="NTFPreCursivef" w:hAnsi="NTFPreCursivef" w:cs="Lato-Light"/>
                <w:sz w:val="20"/>
                <w:szCs w:val="20"/>
              </w:rPr>
              <w:t>self-respec</w:t>
            </w:r>
            <w:r>
              <w:rPr>
                <w:rFonts w:ascii="NTFPreCursivef" w:hAnsi="NTFPreCursivef" w:cs="Lato-Light"/>
                <w:sz w:val="20"/>
                <w:szCs w:val="20"/>
              </w:rPr>
              <w:t xml:space="preserve">t, </w:t>
            </w:r>
            <w:r w:rsidRPr="002716CB">
              <w:rPr>
                <w:rFonts w:ascii="NTFPreCursivef" w:hAnsi="NTFPreCursivef" w:cs="Lato-Light"/>
                <w:sz w:val="20"/>
                <w:szCs w:val="20"/>
              </w:rPr>
              <w:t>anonymous</w:t>
            </w:r>
          </w:p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FFE599" w:themeFill="accent4" w:themeFillTint="66"/>
          </w:tcPr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constructive challenge, conflict, </w:t>
            </w:r>
            <w:r>
              <w:rPr>
                <w:rFonts w:ascii="NTFPreCursivef" w:hAnsi="NTFPreCursivef" w:cs="Lato-Light"/>
                <w:sz w:val="18"/>
                <w:szCs w:val="18"/>
              </w:rPr>
              <w:t xml:space="preserve">personal behaviour, </w:t>
            </w:r>
            <w:r w:rsidRPr="00B45B2A">
              <w:rPr>
                <w:rFonts w:ascii="NTFPreCursivef" w:hAnsi="NTFPreCursivef" w:cs="Lato-Light"/>
                <w:sz w:val="18"/>
                <w:szCs w:val="18"/>
              </w:rPr>
              <w:t>debate</w:t>
            </w:r>
            <w:r>
              <w:rPr>
                <w:rFonts w:ascii="NTFPreCursivef" w:hAnsi="NTFPreCursivef" w:cs="Lato-Light"/>
                <w:sz w:val="18"/>
                <w:szCs w:val="18"/>
              </w:rPr>
              <w:t>,</w:t>
            </w:r>
            <w:r w:rsidRPr="00B45B2A">
              <w:rPr>
                <w:rFonts w:ascii="NTFPreCursivef" w:hAnsi="NTFPreCursivef" w:cs="Lato-Light"/>
                <w:sz w:val="18"/>
                <w:szCs w:val="18"/>
              </w:rPr>
              <w:t xml:space="preserve"> topical </w:t>
            </w:r>
          </w:p>
        </w:tc>
      </w:tr>
      <w:tr w:rsidR="00CA5D27" w:rsidRPr="00651C76" w:rsidTr="00651C76">
        <w:trPr>
          <w:trHeight w:val="1276"/>
        </w:trPr>
        <w:tc>
          <w:tcPr>
            <w:tcW w:w="1701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Physical health and mental wellbeing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healthy, unhealthy, washing, physical activity, play, sun safety</w:t>
            </w:r>
          </w:p>
        </w:tc>
        <w:tc>
          <w:tcPr>
            <w:tcW w:w="3541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healthy, unhealthy, habit, routine, growing, medicines, dentist, dental health, mood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:rsidR="00CA5D27" w:rsidRPr="00333F44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333F44">
              <w:rPr>
                <w:rFonts w:ascii="NTFPreCursive" w:hAnsi="NTFPreCursive"/>
                <w:sz w:val="20"/>
                <w:szCs w:val="20"/>
              </w:rPr>
              <w:t>Health choices, feelings</w:t>
            </w:r>
            <w:r w:rsidR="00E117F8">
              <w:rPr>
                <w:rFonts w:ascii="NTFPreCursive" w:hAnsi="NTFPreCursive"/>
                <w:sz w:val="20"/>
                <w:szCs w:val="20"/>
              </w:rPr>
              <w:t xml:space="preserve">, informed decisions, healthy lifestyle, healthy diet, exercise benefits, </w:t>
            </w:r>
          </w:p>
        </w:tc>
        <w:tc>
          <w:tcPr>
            <w:tcW w:w="3538" w:type="dxa"/>
            <w:shd w:val="clear" w:color="auto" w:fill="C5E0B3" w:themeFill="accent6" w:themeFillTint="66"/>
          </w:tcPr>
          <w:p w:rsidR="00CA5D27" w:rsidRPr="002A1130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Balanced lifestyle, hygiene, dental care</w:t>
            </w:r>
            <w:r w:rsidR="00EA734E">
              <w:rPr>
                <w:rFonts w:ascii="NTFPreCursive" w:hAnsi="NTFPreCursive"/>
                <w:sz w:val="20"/>
                <w:szCs w:val="20"/>
              </w:rPr>
              <w:t>, oral hygiene,</w:t>
            </w:r>
          </w:p>
        </w:tc>
        <w:tc>
          <w:tcPr>
            <w:tcW w:w="3408" w:type="dxa"/>
            <w:shd w:val="clear" w:color="auto" w:fill="C5E0B3" w:themeFill="accent6" w:themeFillTint="66"/>
          </w:tcPr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lifestyle, sleep hygiene, mental health, sun exposure, heat stroke, disease prevention, vaccination, immunisation, bacteria, virus, </w:t>
            </w:r>
            <w:r w:rsidRPr="002716CB">
              <w:rPr>
                <w:rFonts w:ascii="NTFPreCursivef" w:hAnsi="NTFPreCursivef" w:cs="Lato-Light"/>
                <w:sz w:val="20"/>
                <w:szCs w:val="20"/>
              </w:rPr>
              <w:t>overexposure</w:t>
            </w:r>
            <w:r>
              <w:rPr>
                <w:rFonts w:ascii="NTFPreCursivef" w:hAnsi="NTFPreCursivef" w:cs="Lato-Light"/>
                <w:sz w:val="20"/>
                <w:szCs w:val="20"/>
              </w:rPr>
              <w:t>,</w:t>
            </w:r>
            <w:r w:rsidRPr="002716CB">
              <w:rPr>
                <w:rFonts w:ascii="NTFPreCursivef" w:hAnsi="NTFPreCursivef" w:cs="Lato-Light"/>
                <w:sz w:val="20"/>
                <w:szCs w:val="20"/>
              </w:rPr>
              <w:t xml:space="preserve"> skin cancer</w:t>
            </w:r>
          </w:p>
        </w:tc>
        <w:tc>
          <w:tcPr>
            <w:tcW w:w="3535" w:type="dxa"/>
            <w:shd w:val="clear" w:color="auto" w:fill="C5E0B3" w:themeFill="accent6" w:themeFillTint="66"/>
          </w:tcPr>
          <w:p w:rsidR="00CA5D27" w:rsidRPr="00315221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mental ill- health, adverse experiences, conflicted feelings, grieving process, bereavement </w:t>
            </w:r>
            <w:r w:rsidRPr="00B45B2A">
              <w:rPr>
                <w:rFonts w:ascii="NTFPreCursivef" w:hAnsi="NTFPreCursivef" w:cs="Lato-Light"/>
                <w:sz w:val="18"/>
                <w:szCs w:val="18"/>
              </w:rPr>
              <w:t xml:space="preserve">mental health and wellbeing </w:t>
            </w:r>
          </w:p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 </w:t>
            </w:r>
          </w:p>
        </w:tc>
      </w:tr>
      <w:tr w:rsidR="00CA5D27" w:rsidRPr="00651C76" w:rsidTr="00651C76">
        <w:trPr>
          <w:trHeight w:val="1276"/>
        </w:trPr>
        <w:tc>
          <w:tcPr>
            <w:tcW w:w="1701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Safe relationships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hurt, private, touch, uncomfortable, ask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hurtful, behaviour, bullying, online, surprise, secret, worried, pressured, unsafe, worried</w:t>
            </w:r>
          </w:p>
        </w:tc>
        <w:tc>
          <w:tcPr>
            <w:tcW w:w="3405" w:type="dxa"/>
            <w:shd w:val="clear" w:color="auto" w:fill="FFE599" w:themeFill="accent4" w:themeFillTint="66"/>
          </w:tcPr>
          <w:p w:rsidR="00CA5D27" w:rsidRPr="00333F44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333F44">
              <w:rPr>
                <w:rFonts w:ascii="NTFPreCursive" w:hAnsi="NTFPreCursive"/>
                <w:sz w:val="20"/>
                <w:szCs w:val="20"/>
              </w:rPr>
              <w:t xml:space="preserve">Personal </w:t>
            </w:r>
            <w:r w:rsidR="00E117F8">
              <w:rPr>
                <w:rFonts w:ascii="NTFPreCursive" w:hAnsi="NTFPreCursive"/>
                <w:sz w:val="20"/>
                <w:szCs w:val="20"/>
              </w:rPr>
              <w:t>boundaries, impact, privacy,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:rsidR="00CA5D27" w:rsidRPr="002A1130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Confidentiality, online risks</w:t>
            </w:r>
            <w:r w:rsidR="00EA734E">
              <w:rPr>
                <w:rFonts w:ascii="NTFPreCursive" w:hAnsi="NTFPreCursive"/>
                <w:sz w:val="20"/>
                <w:szCs w:val="20"/>
              </w:rPr>
              <w:t>, support, appropriate, permission / consent, peer pressure</w:t>
            </w:r>
          </w:p>
        </w:tc>
        <w:tc>
          <w:tcPr>
            <w:tcW w:w="3408" w:type="dxa"/>
            <w:shd w:val="clear" w:color="auto" w:fill="FFE599" w:themeFill="accent4" w:themeFillTint="66"/>
          </w:tcPr>
          <w:p w:rsidR="00CA5D27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consent, appropriate and inappropriate contact</w:t>
            </w:r>
          </w:p>
          <w:p w:rsidR="00CA5D27" w:rsidRPr="004E32DC" w:rsidRDefault="00CA5D27" w:rsidP="00CA5D27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Lato-Light"/>
                <w:sz w:val="20"/>
                <w:szCs w:val="20"/>
              </w:rPr>
            </w:pPr>
            <w:r>
              <w:rPr>
                <w:rFonts w:ascii="NTFPreCursivef" w:hAnsi="NTFPreCursivef" w:cs="Lato-Light"/>
                <w:sz w:val="20"/>
                <w:szCs w:val="20"/>
              </w:rPr>
              <w:t>acceptable, unacceptable, confidential</w:t>
            </w:r>
          </w:p>
        </w:tc>
        <w:tc>
          <w:tcPr>
            <w:tcW w:w="3535" w:type="dxa"/>
            <w:shd w:val="clear" w:color="auto" w:fill="FFE599" w:themeFill="accent4" w:themeFillTint="66"/>
          </w:tcPr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healthy and unhealthy friendship, shared responsibility, risk assessment, personal safety, consent</w:t>
            </w:r>
          </w:p>
          <w:p w:rsidR="00CA5D27" w:rsidRPr="002A1130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</w:p>
        </w:tc>
      </w:tr>
      <w:tr w:rsidR="00CA5D27" w:rsidRPr="00651C76" w:rsidTr="00D700B5">
        <w:trPr>
          <w:trHeight w:val="1276"/>
        </w:trPr>
        <w:tc>
          <w:tcPr>
            <w:tcW w:w="1701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b/>
                <w:sz w:val="20"/>
                <w:szCs w:val="20"/>
              </w:rPr>
              <w:t>M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 xml:space="preserve">edia literacy </w:t>
            </w:r>
            <w:r>
              <w:rPr>
                <w:rFonts w:ascii="NTFPreCursive" w:hAnsi="NTFPreCursive"/>
                <w:b/>
                <w:sz w:val="20"/>
                <w:szCs w:val="20"/>
              </w:rPr>
              <w:t>a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>n</w:t>
            </w:r>
            <w:r>
              <w:rPr>
                <w:rFonts w:ascii="NTFPreCursive" w:hAnsi="NTFPreCursive"/>
                <w:b/>
                <w:sz w:val="20"/>
                <w:szCs w:val="20"/>
              </w:rPr>
              <w:t>d digit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>al resilience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internet, digital, device, communicate, safely</w:t>
            </w:r>
          </w:p>
        </w:tc>
        <w:tc>
          <w:tcPr>
            <w:tcW w:w="3541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internet access, purpose, value, content, online information</w:t>
            </w:r>
          </w:p>
        </w:tc>
        <w:tc>
          <w:tcPr>
            <w:tcW w:w="3405" w:type="dxa"/>
            <w:shd w:val="clear" w:color="auto" w:fill="BDD6EE" w:themeFill="accent5" w:themeFillTint="66"/>
          </w:tcPr>
          <w:p w:rsidR="00CA5D27" w:rsidRPr="00E117F8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E117F8">
              <w:rPr>
                <w:rFonts w:ascii="NTFPreCursive" w:hAnsi="NTFPreCursive"/>
                <w:sz w:val="20"/>
                <w:szCs w:val="20"/>
              </w:rPr>
              <w:t>Online information</w:t>
            </w:r>
            <w:r w:rsidR="00E117F8">
              <w:rPr>
                <w:rFonts w:ascii="NTFPreCursive" w:hAnsi="NTFPreCursive"/>
                <w:sz w:val="20"/>
                <w:szCs w:val="20"/>
              </w:rPr>
              <w:t>, sources, reliability</w:t>
            </w:r>
          </w:p>
        </w:tc>
        <w:tc>
          <w:tcPr>
            <w:tcW w:w="3538" w:type="dxa"/>
            <w:shd w:val="clear" w:color="auto" w:fill="BDD6EE" w:themeFill="accent5" w:themeFillTint="66"/>
          </w:tcPr>
          <w:p w:rsidR="00CA5D27" w:rsidRPr="0004718C" w:rsidRDefault="00333F44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Data sharing,</w:t>
            </w:r>
            <w:r w:rsidR="00EA734E">
              <w:rPr>
                <w:rFonts w:ascii="NTFPreCursive" w:hAnsi="NTFPreCursive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  <w:shd w:val="clear" w:color="auto" w:fill="BDD6EE" w:themeFill="accent5" w:themeFillTint="66"/>
          </w:tcPr>
          <w:p w:rsidR="00CA5D27" w:rsidRPr="006C4EB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media, opinion, stereotype, suspicious content, </w:t>
            </w:r>
            <w:r w:rsidRPr="002716CB">
              <w:rPr>
                <w:rFonts w:ascii="NTFPreCursivef" w:hAnsi="NTFPreCursivef" w:cs="Lato-Light"/>
                <w:sz w:val="20"/>
                <w:szCs w:val="20"/>
              </w:rPr>
              <w:t>reliabil</w:t>
            </w:r>
            <w:r>
              <w:rPr>
                <w:rFonts w:ascii="NTFPreCursivef" w:hAnsi="NTFPreCursivef" w:cs="Lato-Light"/>
                <w:sz w:val="20"/>
                <w:szCs w:val="20"/>
              </w:rPr>
              <w:t>ity, sources, ranked</w:t>
            </w:r>
          </w:p>
        </w:tc>
        <w:tc>
          <w:tcPr>
            <w:tcW w:w="3535" w:type="dxa"/>
            <w:shd w:val="clear" w:color="auto" w:fill="BDD6EE" w:themeFill="accent5" w:themeFillTint="66"/>
          </w:tcPr>
          <w:p w:rsidR="00CA5D27" w:rsidRPr="006C4EB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manipulated, altered, fake, restrictions, regulations, </w:t>
            </w:r>
            <w:r>
              <w:rPr>
                <w:rFonts w:ascii="NTFPreCursivef" w:hAnsi="NTFPreCursivef" w:cs="Lato-Light"/>
                <w:sz w:val="18"/>
                <w:szCs w:val="18"/>
              </w:rPr>
              <w:t xml:space="preserve">compliance, commercial purpose, </w:t>
            </w:r>
            <w:r>
              <w:rPr>
                <w:rFonts w:ascii="NTFPreCursive" w:hAnsi="NTFPreCursive"/>
                <w:sz w:val="20"/>
                <w:szCs w:val="20"/>
              </w:rPr>
              <w:t>misinformation</w:t>
            </w:r>
          </w:p>
        </w:tc>
      </w:tr>
      <w:tr w:rsidR="00CA5D27" w:rsidRPr="00651C76" w:rsidTr="00651C76">
        <w:trPr>
          <w:trHeight w:val="1276"/>
        </w:trPr>
        <w:tc>
          <w:tcPr>
            <w:tcW w:w="1701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Keeping safe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restrictions, online safety, feelings, keeping safe</w:t>
            </w:r>
          </w:p>
        </w:tc>
        <w:tc>
          <w:tcPr>
            <w:tcW w:w="3541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risks, medicine, familiar, unfamiliar, potentially, electrical appliance, household products, accident, emergency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:rsidR="00CA5D27" w:rsidRPr="00E117F8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E117F8">
              <w:rPr>
                <w:rFonts w:ascii="NTFPreCursive" w:hAnsi="NTFPreCursive"/>
                <w:sz w:val="20"/>
                <w:szCs w:val="20"/>
              </w:rPr>
              <w:t>Risks, hazards,</w:t>
            </w:r>
            <w:r>
              <w:rPr>
                <w:rFonts w:ascii="NTFPreCursive" w:hAnsi="NTFPreCursive"/>
                <w:sz w:val="20"/>
                <w:szCs w:val="20"/>
              </w:rPr>
              <w:t xml:space="preserve"> reduce risks</w:t>
            </w:r>
          </w:p>
        </w:tc>
        <w:tc>
          <w:tcPr>
            <w:tcW w:w="3538" w:type="dxa"/>
            <w:shd w:val="clear" w:color="auto" w:fill="C5E0B3" w:themeFill="accent6" w:themeFillTint="66"/>
          </w:tcPr>
          <w:p w:rsidR="00CA5D27" w:rsidRPr="005033B5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Medicines, </w:t>
            </w:r>
            <w:r w:rsidR="00EA734E">
              <w:rPr>
                <w:rFonts w:ascii="NTFPreCursive" w:hAnsi="NTFPreCursive"/>
                <w:sz w:val="20"/>
                <w:szCs w:val="20"/>
              </w:rPr>
              <w:t xml:space="preserve">legal </w:t>
            </w:r>
            <w:r>
              <w:rPr>
                <w:rFonts w:ascii="NTFPreCursive" w:hAnsi="NTFPreCursive"/>
                <w:sz w:val="20"/>
                <w:szCs w:val="20"/>
              </w:rPr>
              <w:t>drugs</w:t>
            </w:r>
            <w:r w:rsidR="00EA734E">
              <w:rPr>
                <w:rFonts w:ascii="NTFPreCursive" w:hAnsi="NTFPreCursive"/>
                <w:sz w:val="20"/>
                <w:szCs w:val="20"/>
              </w:rPr>
              <w:t xml:space="preserve">, habit, vaccinations, immunisation, allergies,  </w:t>
            </w:r>
          </w:p>
        </w:tc>
        <w:tc>
          <w:tcPr>
            <w:tcW w:w="3408" w:type="dxa"/>
            <w:shd w:val="clear" w:color="auto" w:fill="C5E0B3" w:themeFill="accent6" w:themeFillTint="66"/>
          </w:tcPr>
          <w:p w:rsidR="00CA5D27" w:rsidRPr="00315221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risky, positive risk taking, </w:t>
            </w:r>
            <w:r w:rsidRPr="002716CB">
              <w:rPr>
                <w:rFonts w:ascii="NTFPreCursivef" w:hAnsi="NTFPreCursivef" w:cs="Lato-Light"/>
                <w:sz w:val="20"/>
                <w:szCs w:val="20"/>
              </w:rPr>
              <w:t>predict, assess and manage risk in different situations</w:t>
            </w:r>
          </w:p>
          <w:p w:rsidR="00CA5D27" w:rsidRPr="002716CB" w:rsidRDefault="00CA5D27" w:rsidP="00CA5D27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Lato-Light"/>
                <w:sz w:val="20"/>
                <w:szCs w:val="20"/>
              </w:rPr>
            </w:pPr>
          </w:p>
          <w:p w:rsidR="00CA5D27" w:rsidRDefault="00CA5D27" w:rsidP="00CA5D27">
            <w:pPr>
              <w:rPr>
                <w:rFonts w:ascii="NTFPreCursivef" w:hAnsi="NTFPreCursivef" w:cs="Lato-Light"/>
                <w:i/>
                <w:sz w:val="20"/>
                <w:szCs w:val="20"/>
              </w:rPr>
            </w:pPr>
            <w:r w:rsidRPr="00BC112D">
              <w:rPr>
                <w:rFonts w:ascii="NTFPreCursive" w:hAnsi="NTFPreCursive"/>
                <w:i/>
                <w:sz w:val="20"/>
                <w:szCs w:val="20"/>
              </w:rPr>
              <w:t>Thematic-</w:t>
            </w:r>
            <w:r>
              <w:rPr>
                <w:rFonts w:ascii="NTFPreCursive" w:hAnsi="NTFPreCursive"/>
                <w:i/>
                <w:sz w:val="20"/>
                <w:szCs w:val="20"/>
              </w:rPr>
              <w:t xml:space="preserve"> related to first aid</w:t>
            </w:r>
            <w:r w:rsidRPr="00315221">
              <w:rPr>
                <w:rFonts w:ascii="NTFPreCursivef" w:hAnsi="NTFPreCursivef" w:cs="Lato-Light"/>
                <w:i/>
                <w:sz w:val="20"/>
                <w:szCs w:val="20"/>
              </w:rPr>
              <w:t xml:space="preserve"> </w:t>
            </w:r>
          </w:p>
          <w:p w:rsidR="00CA5D27" w:rsidRPr="00BC112D" w:rsidRDefault="00CA5D27" w:rsidP="00CA5D27">
            <w:pPr>
              <w:rPr>
                <w:rFonts w:ascii="NTFPreCursive" w:hAnsi="NTFPreCursive"/>
                <w:i/>
                <w:sz w:val="20"/>
                <w:szCs w:val="20"/>
              </w:rPr>
            </w:pPr>
            <w:r w:rsidRPr="00315221">
              <w:rPr>
                <w:rFonts w:ascii="NTFPreCursivef" w:hAnsi="NTFPreCursivef" w:cs="Lato-Light"/>
                <w:i/>
                <w:sz w:val="20"/>
                <w:szCs w:val="20"/>
              </w:rPr>
              <w:t>bruises, scalds, burns</w:t>
            </w:r>
            <w:r>
              <w:rPr>
                <w:rFonts w:ascii="NTFPreCursivef" w:hAnsi="NTFPreCursivef" w:cs="Lato-Light"/>
                <w:i/>
                <w:sz w:val="20"/>
                <w:szCs w:val="20"/>
              </w:rPr>
              <w:t>, bleeds (cuts or nose bleeds), asthma attack, allergic reaction</w:t>
            </w:r>
            <w:r w:rsidRPr="00315221">
              <w:rPr>
                <w:rFonts w:ascii="NTFPreCursivef" w:hAnsi="NTFPreCursivef" w:cs="Lato-Light"/>
                <w:i/>
                <w:sz w:val="20"/>
                <w:szCs w:val="20"/>
              </w:rPr>
              <w:t xml:space="preserve">, </w:t>
            </w:r>
            <w:r>
              <w:rPr>
                <w:rFonts w:ascii="NTFPreCursivef" w:hAnsi="NTFPreCursivef" w:cs="Lato-Light"/>
                <w:i/>
                <w:sz w:val="20"/>
                <w:szCs w:val="20"/>
              </w:rPr>
              <w:t xml:space="preserve">choking, </w:t>
            </w:r>
            <w:r w:rsidRPr="00315221">
              <w:rPr>
                <w:rFonts w:ascii="NTFPreCursivef" w:hAnsi="NTFPreCursivef" w:cs="Lato-Light"/>
                <w:i/>
                <w:sz w:val="20"/>
                <w:szCs w:val="20"/>
              </w:rPr>
              <w:t xml:space="preserve">unresponsive. </w:t>
            </w:r>
          </w:p>
        </w:tc>
        <w:tc>
          <w:tcPr>
            <w:tcW w:w="3535" w:type="dxa"/>
            <w:shd w:val="clear" w:color="auto" w:fill="C5E0B3" w:themeFill="accent6" w:themeFillTint="66"/>
          </w:tcPr>
          <w:p w:rsidR="00CA5D27" w:rsidRPr="00315221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personal information, impact, misuse, legal and illegal drugs, </w:t>
            </w:r>
            <w:r w:rsidRPr="00B45B2A">
              <w:rPr>
                <w:rFonts w:ascii="NTFPreCursivef" w:hAnsi="NTFPreCursivef" w:cs="Lato-Light"/>
                <w:sz w:val="18"/>
                <w:szCs w:val="18"/>
              </w:rPr>
              <w:t xml:space="preserve">complying </w:t>
            </w:r>
          </w:p>
          <w:p w:rsidR="00CA5D27" w:rsidRPr="00BC112D" w:rsidRDefault="00CA5D27" w:rsidP="00CA5D27">
            <w:pPr>
              <w:autoSpaceDE w:val="0"/>
              <w:autoSpaceDN w:val="0"/>
              <w:adjustRightInd w:val="0"/>
              <w:jc w:val="both"/>
              <w:rPr>
                <w:rFonts w:ascii="NTFPreCursive" w:hAnsi="NTFPreCursive"/>
                <w:i/>
                <w:sz w:val="20"/>
                <w:szCs w:val="20"/>
              </w:rPr>
            </w:pPr>
            <w:r>
              <w:rPr>
                <w:rFonts w:ascii="NTFPreCursive" w:hAnsi="NTFPreCursive"/>
                <w:i/>
                <w:sz w:val="20"/>
                <w:szCs w:val="20"/>
              </w:rPr>
              <w:t xml:space="preserve">Thematic- organisations to contact re drug use e.g. AA, nicotine, vaping, </w:t>
            </w:r>
          </w:p>
        </w:tc>
      </w:tr>
      <w:tr w:rsidR="00CA5D27" w:rsidRPr="00651C76" w:rsidTr="00651C76">
        <w:trPr>
          <w:trHeight w:val="1276"/>
        </w:trPr>
        <w:tc>
          <w:tcPr>
            <w:tcW w:w="1701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b/>
                <w:sz w:val="20"/>
                <w:szCs w:val="20"/>
              </w:rPr>
              <w:t>Fam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>ilies and friendships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people, family, families, different, love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friend, positive play, argument, resolved, lonely, unhappy</w:t>
            </w:r>
          </w:p>
        </w:tc>
        <w:tc>
          <w:tcPr>
            <w:tcW w:w="3405" w:type="dxa"/>
            <w:shd w:val="clear" w:color="auto" w:fill="FFE599" w:themeFill="accent4" w:themeFillTint="66"/>
          </w:tcPr>
          <w:p w:rsidR="00CA5D27" w:rsidRPr="009B2DD6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Family structures, relationships, stability, security, commitment, 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:rsidR="00CA5D27" w:rsidRPr="005033B5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Positive friendships</w:t>
            </w:r>
            <w:r w:rsidR="00EA734E">
              <w:rPr>
                <w:rFonts w:ascii="NTFPreCursive" w:hAnsi="NTFPreCursive"/>
                <w:sz w:val="20"/>
                <w:szCs w:val="20"/>
              </w:rPr>
              <w:t xml:space="preserve">, friendship qualities, </w:t>
            </w:r>
          </w:p>
        </w:tc>
        <w:tc>
          <w:tcPr>
            <w:tcW w:w="3408" w:type="dxa"/>
            <w:shd w:val="clear" w:color="auto" w:fill="FFE599" w:themeFill="accent4" w:themeFillTint="66"/>
          </w:tcPr>
          <w:p w:rsidR="00CA5D27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peer influence, peer approval, positive resolution, reconciliation, consent</w:t>
            </w:r>
          </w:p>
          <w:p w:rsidR="00CA5D27" w:rsidRPr="006C4EB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FFE599" w:themeFill="accent4" w:themeFillTint="66"/>
          </w:tcPr>
          <w:p w:rsidR="00CA5D27" w:rsidRPr="00B45B2A" w:rsidRDefault="00CA5D27" w:rsidP="00CA5D27">
            <w:pPr>
              <w:rPr>
                <w:rFonts w:ascii="NTFPreCursivef" w:hAnsi="NTFPreCursivef" w:cs="Lato-Light"/>
                <w:sz w:val="18"/>
                <w:szCs w:val="18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loving relationships, gender, ethnicity, faith, gender identity, sexual orientation, healthy relationships, commitment, marriage, civil partnership, </w:t>
            </w:r>
            <w:r>
              <w:rPr>
                <w:rFonts w:ascii="NTFPreCursivef" w:hAnsi="NTFPreCursivef" w:cs="Lato-Light"/>
                <w:sz w:val="18"/>
                <w:szCs w:val="18"/>
              </w:rPr>
              <w:t xml:space="preserve">emotionally, romantically, sexually, </w:t>
            </w:r>
            <w:r w:rsidRPr="00B45B2A">
              <w:rPr>
                <w:rFonts w:ascii="NTFPreCursivef" w:hAnsi="NTFPreCursivef" w:cs="Lato-Light"/>
                <w:sz w:val="18"/>
                <w:szCs w:val="18"/>
              </w:rPr>
              <w:t xml:space="preserve"> family structure</w:t>
            </w:r>
          </w:p>
          <w:p w:rsidR="00CA5D27" w:rsidRDefault="00CA5D27" w:rsidP="00CA5D27">
            <w:pPr>
              <w:rPr>
                <w:rFonts w:ascii="NTFPreCursivef" w:hAnsi="NTFPreCursivef" w:cs="Lato-Bold"/>
                <w:b/>
                <w:bCs/>
                <w:sz w:val="18"/>
                <w:szCs w:val="18"/>
              </w:rPr>
            </w:pPr>
          </w:p>
          <w:p w:rsidR="00CA5D27" w:rsidRPr="009D5D6B" w:rsidRDefault="00CA5D27" w:rsidP="00CA5D27">
            <w:pPr>
              <w:rPr>
                <w:rFonts w:ascii="NTFPreCursive" w:hAnsi="NTFPreCursive"/>
                <w:i/>
                <w:sz w:val="20"/>
                <w:szCs w:val="20"/>
              </w:rPr>
            </w:pPr>
            <w:r w:rsidRPr="009D5D6B">
              <w:rPr>
                <w:rFonts w:ascii="NTFPreCursivef" w:hAnsi="NTFPreCursivef" w:cs="Lato-Bold"/>
                <w:bCs/>
                <w:i/>
                <w:sz w:val="18"/>
                <w:szCs w:val="18"/>
              </w:rPr>
              <w:t xml:space="preserve">Thematic- </w:t>
            </w:r>
            <w:r w:rsidRPr="009D5D6B">
              <w:rPr>
                <w:rFonts w:ascii="NTFPreCursivef" w:hAnsi="NTFPreCursivef" w:cs="Lato-Light"/>
                <w:i/>
                <w:sz w:val="18"/>
                <w:szCs w:val="18"/>
              </w:rPr>
              <w:t xml:space="preserve"> single parents, same-sex parents, step-parents, blended families, foster parents </w:t>
            </w:r>
          </w:p>
        </w:tc>
      </w:tr>
      <w:tr w:rsidR="00CA5D27" w:rsidRPr="00651C76" w:rsidTr="00D700B5">
        <w:trPr>
          <w:trHeight w:val="1276"/>
        </w:trPr>
        <w:tc>
          <w:tcPr>
            <w:tcW w:w="1701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Money and work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strength, interest, jobs, community, different jobs, (examples of different jobs e.g. teacher, doctor, fireman, shop assistant, bus driver etc.)</w:t>
            </w:r>
          </w:p>
        </w:tc>
        <w:tc>
          <w:tcPr>
            <w:tcW w:w="3541" w:type="dxa"/>
            <w:shd w:val="clear" w:color="auto" w:fill="BDD6EE" w:themeFill="accent5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money, kept, looked after, job, paid, need, want, spends</w:t>
            </w:r>
          </w:p>
        </w:tc>
        <w:tc>
          <w:tcPr>
            <w:tcW w:w="3405" w:type="dxa"/>
            <w:shd w:val="clear" w:color="auto" w:fill="BDD6EE" w:themeFill="accent5" w:themeFillTint="66"/>
          </w:tcPr>
          <w:p w:rsidR="00CA5D27" w:rsidRPr="000072B9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Skills, job stereotypes, personal goals, aspirations, career, teamwork</w:t>
            </w:r>
          </w:p>
        </w:tc>
        <w:tc>
          <w:tcPr>
            <w:tcW w:w="3538" w:type="dxa"/>
            <w:shd w:val="clear" w:color="auto" w:fill="BDD6EE" w:themeFill="accent5" w:themeFillTint="66"/>
          </w:tcPr>
          <w:p w:rsidR="00CA5D27" w:rsidRPr="00F848B6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Money decisions, </w:t>
            </w:r>
            <w:r w:rsidR="00EA734E">
              <w:rPr>
                <w:rFonts w:ascii="NTFPreCursive" w:hAnsi="NTFPreCursive"/>
                <w:sz w:val="20"/>
                <w:szCs w:val="20"/>
              </w:rPr>
              <w:t xml:space="preserve">tracking money, </w:t>
            </w:r>
          </w:p>
        </w:tc>
        <w:tc>
          <w:tcPr>
            <w:tcW w:w="3408" w:type="dxa"/>
            <w:shd w:val="clear" w:color="auto" w:fill="BDD6EE" w:themeFill="accent5" w:themeFillTint="66"/>
          </w:tcPr>
          <w:p w:rsidR="00CA5D27" w:rsidRPr="002716CB" w:rsidRDefault="00CA5D27" w:rsidP="00CA5D27">
            <w:pPr>
              <w:rPr>
                <w:rFonts w:ascii="NTFPreCursivef" w:hAnsi="NTFPreCursivef" w:cs="Lato-Light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career ambition, diversity, inclusion, career opportunities, stereotyping, workplace, </w:t>
            </w:r>
            <w:r>
              <w:rPr>
                <w:rFonts w:ascii="NTFPreCursivef" w:hAnsi="NTFPreCursivef" w:cs="Lato-Light"/>
                <w:sz w:val="20"/>
                <w:szCs w:val="20"/>
              </w:rPr>
              <w:t>aspiration,</w:t>
            </w:r>
            <w:r>
              <w:rPr>
                <w:rFonts w:ascii="NTFPreCursive" w:hAnsi="NTFPreCursive"/>
                <w:sz w:val="20"/>
                <w:szCs w:val="20"/>
              </w:rPr>
              <w:t xml:space="preserve"> voluntary work </w:t>
            </w:r>
          </w:p>
          <w:p w:rsidR="00CA5D27" w:rsidRDefault="00CA5D27" w:rsidP="00CA5D27">
            <w:pPr>
              <w:rPr>
                <w:rFonts w:ascii="NTFPreCursivef" w:hAnsi="NTFPreCursivef" w:cs="Lato-Light"/>
                <w:sz w:val="20"/>
                <w:szCs w:val="20"/>
              </w:rPr>
            </w:pPr>
          </w:p>
          <w:p w:rsidR="00CA5D27" w:rsidRPr="00BC112D" w:rsidRDefault="00CA5D27" w:rsidP="00CA5D27">
            <w:pPr>
              <w:rPr>
                <w:rFonts w:ascii="NTFPreCursive" w:hAnsi="NTFPreCursive"/>
                <w:i/>
                <w:sz w:val="20"/>
                <w:szCs w:val="20"/>
              </w:rPr>
            </w:pPr>
            <w:r>
              <w:rPr>
                <w:rFonts w:ascii="NTFPreCursive" w:hAnsi="NTFPreCursive"/>
                <w:i/>
                <w:sz w:val="20"/>
                <w:szCs w:val="20"/>
              </w:rPr>
              <w:t>Thematic- types of employment and education/ training opportunities: college, university, apprenticeship</w:t>
            </w:r>
          </w:p>
          <w:p w:rsidR="00CA5D27" w:rsidRPr="006C4EB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BDD6EE" w:themeFill="accent5" w:themeFillTint="66"/>
          </w:tcPr>
          <w:p w:rsidR="00CA5D27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 ‘value for money’, critical consumer, emotions, health and wellbeing, fraud, debt and gambling</w:t>
            </w:r>
          </w:p>
          <w:p w:rsidR="00CA5D27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financial risk</w:t>
            </w:r>
          </w:p>
          <w:p w:rsidR="00CA5D27" w:rsidRPr="006C4EB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</w:p>
        </w:tc>
      </w:tr>
      <w:tr w:rsidR="00CA5D27" w:rsidRPr="00651C76" w:rsidTr="00E117F8">
        <w:trPr>
          <w:trHeight w:val="1049"/>
        </w:trPr>
        <w:tc>
          <w:tcPr>
            <w:tcW w:w="1701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b/>
                <w:sz w:val="20"/>
                <w:szCs w:val="20"/>
              </w:rPr>
              <w:t>G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>rowing and changing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CA5D27" w:rsidRPr="00651C76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special, wrong, same, different, feelings, act</w:t>
            </w:r>
          </w:p>
        </w:tc>
        <w:tc>
          <w:tcPr>
            <w:tcW w:w="3541" w:type="dxa"/>
            <w:shd w:val="clear" w:color="auto" w:fill="C5E0B3" w:themeFill="accent6" w:themeFillTint="66"/>
          </w:tcPr>
          <w:p w:rsidR="00CA5D27" w:rsidRPr="005348D4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5348D4">
              <w:rPr>
                <w:rFonts w:ascii="NTFPreCursive" w:hAnsi="NTFPreCursive"/>
                <w:sz w:val="20"/>
                <w:szCs w:val="20"/>
              </w:rPr>
              <w:t>human</w:t>
            </w:r>
            <w:r w:rsidR="005348D4" w:rsidRPr="005348D4">
              <w:rPr>
                <w:rFonts w:ascii="NTFPreCursive" w:hAnsi="NTFPreCursive"/>
                <w:sz w:val="20"/>
                <w:szCs w:val="20"/>
              </w:rPr>
              <w:t xml:space="preserve"> life cycle, needs, body parts </w:t>
            </w:r>
            <w:r w:rsidRPr="005348D4">
              <w:rPr>
                <w:rFonts w:ascii="NTFPreCursive" w:hAnsi="NTFPreCursive"/>
                <w:sz w:val="20"/>
                <w:szCs w:val="20"/>
              </w:rPr>
              <w:t xml:space="preserve">including </w:t>
            </w:r>
            <w:r w:rsidR="005348D4" w:rsidRPr="005348D4">
              <w:rPr>
                <w:rFonts w:ascii="NTFPreCursive" w:hAnsi="NTFPreCursive"/>
                <w:sz w:val="20"/>
                <w:szCs w:val="20"/>
              </w:rPr>
              <w:t>penis, vulva</w:t>
            </w:r>
            <w:r w:rsidRPr="005348D4">
              <w:rPr>
                <w:rFonts w:ascii="NTFPreCursive" w:hAnsi="NTFPreCursive"/>
                <w:sz w:val="20"/>
                <w:szCs w:val="20"/>
              </w:rPr>
              <w:t>, opportunities, grow up, goals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:rsidR="00CA5D27" w:rsidRPr="005348D4" w:rsidRDefault="00E117F8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5348D4">
              <w:rPr>
                <w:rFonts w:ascii="NTFPreCursive" w:hAnsi="NTFPreCursive"/>
                <w:sz w:val="20"/>
                <w:szCs w:val="20"/>
              </w:rPr>
              <w:t>Achievements, personal strengths, setbacks, personal qualities, individuality</w:t>
            </w:r>
          </w:p>
        </w:tc>
        <w:tc>
          <w:tcPr>
            <w:tcW w:w="3538" w:type="dxa"/>
            <w:shd w:val="clear" w:color="auto" w:fill="C5E0B3" w:themeFill="accent6" w:themeFillTint="66"/>
          </w:tcPr>
          <w:p w:rsidR="00CA5D27" w:rsidRPr="005348D4" w:rsidRDefault="00EA734E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5348D4">
              <w:rPr>
                <w:rFonts w:ascii="NTFPreCursive" w:hAnsi="NTFPreCursive"/>
                <w:sz w:val="20"/>
                <w:szCs w:val="20"/>
              </w:rPr>
              <w:t xml:space="preserve">personal </w:t>
            </w:r>
            <w:r w:rsidR="00E117F8" w:rsidRPr="005348D4">
              <w:rPr>
                <w:rFonts w:ascii="NTFPreCursive" w:hAnsi="NTFPreCursive"/>
                <w:sz w:val="20"/>
                <w:szCs w:val="20"/>
              </w:rPr>
              <w:t>hygiene</w:t>
            </w:r>
            <w:r w:rsidRPr="005348D4">
              <w:rPr>
                <w:rFonts w:ascii="NTFPreCursive" w:hAnsi="NTFPreCursive"/>
                <w:sz w:val="20"/>
                <w:szCs w:val="20"/>
              </w:rPr>
              <w:t xml:space="preserve">, </w:t>
            </w:r>
            <w:r w:rsidR="005348D4" w:rsidRPr="005348D4">
              <w:rPr>
                <w:rFonts w:ascii="NTFPreCursive" w:hAnsi="NTFPreCursive"/>
                <w:sz w:val="20"/>
                <w:szCs w:val="20"/>
              </w:rPr>
              <w:t>personal</w:t>
            </w:r>
            <w:r w:rsidR="005348D4">
              <w:rPr>
                <w:rFonts w:ascii="NTFPreCursive" w:hAnsi="NTFPreCursive"/>
                <w:sz w:val="20"/>
                <w:szCs w:val="20"/>
              </w:rPr>
              <w:t xml:space="preserve"> identify</w:t>
            </w:r>
            <w:r w:rsidR="005348D4">
              <w:rPr>
                <w:rFonts w:ascii="NTFPreCursive" w:hAnsi="NTFPreCursive"/>
                <w:sz w:val="20"/>
                <w:szCs w:val="20"/>
              </w:rPr>
              <w:t xml:space="preserve">, </w:t>
            </w:r>
            <w:r w:rsidR="005348D4">
              <w:rPr>
                <w:rFonts w:ascii="NTFPreCursive" w:hAnsi="NTFPreCursive"/>
                <w:sz w:val="20"/>
                <w:szCs w:val="20"/>
              </w:rPr>
              <w:t>individuality, personal quality</w:t>
            </w:r>
            <w:r w:rsidR="005348D4">
              <w:rPr>
                <w:rFonts w:ascii="NTFPreCursive" w:hAnsi="NTFPreCursive"/>
                <w:sz w:val="20"/>
                <w:szCs w:val="20"/>
              </w:rPr>
              <w:t xml:space="preserve">, </w:t>
            </w:r>
            <w:r w:rsidR="005348D4">
              <w:rPr>
                <w:rFonts w:ascii="NTFPreCursive" w:hAnsi="NTFPreCursive"/>
                <w:sz w:val="20"/>
                <w:szCs w:val="20"/>
              </w:rPr>
              <w:t>emotional wellbeing</w:t>
            </w:r>
          </w:p>
        </w:tc>
        <w:tc>
          <w:tcPr>
            <w:tcW w:w="3408" w:type="dxa"/>
            <w:shd w:val="clear" w:color="auto" w:fill="C5E0B3" w:themeFill="accent6" w:themeFillTint="66"/>
          </w:tcPr>
          <w:p w:rsidR="00CA5D27" w:rsidRPr="00315221" w:rsidRDefault="005348D4" w:rsidP="00CA5D27">
            <w:pPr>
              <w:rPr>
                <w:rFonts w:ascii="NTFPreCursive" w:hAnsi="NTFPreCursive"/>
                <w:sz w:val="20"/>
                <w:szCs w:val="20"/>
              </w:rPr>
            </w:pPr>
            <w:r w:rsidRPr="005348D4">
              <w:rPr>
                <w:rFonts w:ascii="NTFPreCursive" w:hAnsi="NTFPreCursive"/>
                <w:sz w:val="20"/>
                <w:szCs w:val="20"/>
              </w:rPr>
              <w:t xml:space="preserve">Physical changes, puberty, </w:t>
            </w:r>
            <w:r w:rsidR="00CA5D27">
              <w:rPr>
                <w:rFonts w:ascii="NTFPreCursive" w:hAnsi="NTFPreCursive"/>
                <w:sz w:val="20"/>
                <w:szCs w:val="20"/>
              </w:rPr>
              <w:t xml:space="preserve">gender identity, biological sex, </w:t>
            </w:r>
            <w:bookmarkStart w:id="0" w:name="_GoBack"/>
            <w:bookmarkEnd w:id="0"/>
            <w:r w:rsidR="00CA5D27" w:rsidRPr="002716CB">
              <w:rPr>
                <w:rFonts w:ascii="NTFPreCursivef" w:hAnsi="NTFPreCursivef" w:cs="Lato-Light"/>
                <w:sz w:val="20"/>
                <w:szCs w:val="20"/>
              </w:rPr>
              <w:t>intensity</w:t>
            </w:r>
          </w:p>
          <w:p w:rsidR="00CA5D27" w:rsidRPr="006C4EB3" w:rsidRDefault="005348D4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external genitalia,</w:t>
            </w:r>
          </w:p>
        </w:tc>
        <w:tc>
          <w:tcPr>
            <w:tcW w:w="3535" w:type="dxa"/>
            <w:shd w:val="clear" w:color="auto" w:fill="C5E0B3" w:themeFill="accent6" w:themeFillTint="66"/>
          </w:tcPr>
          <w:p w:rsidR="00CA5D27" w:rsidRPr="009D5D6B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transition, committed relationship, conception, sexual intercourse, intimate relationship, contraception, reproduction,</w:t>
            </w:r>
          </w:p>
          <w:p w:rsidR="00CA5D27" w:rsidRPr="006C4EB3" w:rsidRDefault="00CA5D27" w:rsidP="00CA5D27">
            <w:pPr>
              <w:rPr>
                <w:rFonts w:ascii="NTFPreCursive" w:hAnsi="NTFPreCursive"/>
                <w:sz w:val="20"/>
                <w:szCs w:val="20"/>
              </w:rPr>
            </w:pPr>
          </w:p>
        </w:tc>
      </w:tr>
    </w:tbl>
    <w:p w:rsidR="00E2375D" w:rsidRPr="00651C76" w:rsidRDefault="00E2375D" w:rsidP="00BD695F">
      <w:pPr>
        <w:rPr>
          <w:rFonts w:ascii="NTFPreCursive" w:hAnsi="NTFPreCursive"/>
          <w:sz w:val="20"/>
          <w:szCs w:val="20"/>
        </w:rPr>
      </w:pPr>
    </w:p>
    <w:sectPr w:rsidR="00E2375D" w:rsidRPr="00651C76" w:rsidSect="00651C76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12" w:rsidRDefault="00305512" w:rsidP="00651C76">
      <w:r>
        <w:separator/>
      </w:r>
    </w:p>
  </w:endnote>
  <w:endnote w:type="continuationSeparator" w:id="0">
    <w:p w:rsidR="00305512" w:rsidRDefault="00305512" w:rsidP="006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La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12" w:rsidRDefault="00305512" w:rsidP="00651C76">
      <w:r>
        <w:separator/>
      </w:r>
    </w:p>
  </w:footnote>
  <w:footnote w:type="continuationSeparator" w:id="0">
    <w:p w:rsidR="00305512" w:rsidRDefault="00305512" w:rsidP="0065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2035F"/>
    <w:multiLevelType w:val="hybridMultilevel"/>
    <w:tmpl w:val="02AA8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E0894"/>
    <w:multiLevelType w:val="hybridMultilevel"/>
    <w:tmpl w:val="02AA8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8E"/>
    <w:rsid w:val="000007A3"/>
    <w:rsid w:val="000072B9"/>
    <w:rsid w:val="0004718C"/>
    <w:rsid w:val="00055E00"/>
    <w:rsid w:val="00074FE6"/>
    <w:rsid w:val="000B3F0C"/>
    <w:rsid w:val="000E3FF6"/>
    <w:rsid w:val="000F577F"/>
    <w:rsid w:val="000F638D"/>
    <w:rsid w:val="00107D99"/>
    <w:rsid w:val="0012365C"/>
    <w:rsid w:val="00126C25"/>
    <w:rsid w:val="00134AAE"/>
    <w:rsid w:val="001568AA"/>
    <w:rsid w:val="001600B9"/>
    <w:rsid w:val="001A458A"/>
    <w:rsid w:val="001D5ED2"/>
    <w:rsid w:val="00252C0B"/>
    <w:rsid w:val="00263CFA"/>
    <w:rsid w:val="00263D40"/>
    <w:rsid w:val="00275736"/>
    <w:rsid w:val="0028280F"/>
    <w:rsid w:val="002A1130"/>
    <w:rsid w:val="002B0BD7"/>
    <w:rsid w:val="002D0C5C"/>
    <w:rsid w:val="00305512"/>
    <w:rsid w:val="00315221"/>
    <w:rsid w:val="00323DFF"/>
    <w:rsid w:val="00333F44"/>
    <w:rsid w:val="00340F32"/>
    <w:rsid w:val="00341667"/>
    <w:rsid w:val="0035747C"/>
    <w:rsid w:val="00366A9B"/>
    <w:rsid w:val="003708A5"/>
    <w:rsid w:val="0037306C"/>
    <w:rsid w:val="00383F85"/>
    <w:rsid w:val="00387DCE"/>
    <w:rsid w:val="0039278C"/>
    <w:rsid w:val="003B2282"/>
    <w:rsid w:val="003B5895"/>
    <w:rsid w:val="00400E3F"/>
    <w:rsid w:val="004052D7"/>
    <w:rsid w:val="004112E8"/>
    <w:rsid w:val="004209A6"/>
    <w:rsid w:val="004328F5"/>
    <w:rsid w:val="0043650E"/>
    <w:rsid w:val="0044493E"/>
    <w:rsid w:val="0044592F"/>
    <w:rsid w:val="00453787"/>
    <w:rsid w:val="00463AE5"/>
    <w:rsid w:val="00490762"/>
    <w:rsid w:val="004E32DC"/>
    <w:rsid w:val="00502F9B"/>
    <w:rsid w:val="005033B5"/>
    <w:rsid w:val="00524660"/>
    <w:rsid w:val="00530C1C"/>
    <w:rsid w:val="005348D4"/>
    <w:rsid w:val="005939FC"/>
    <w:rsid w:val="005D2054"/>
    <w:rsid w:val="005F09CF"/>
    <w:rsid w:val="00612CE3"/>
    <w:rsid w:val="00615DA1"/>
    <w:rsid w:val="0062749B"/>
    <w:rsid w:val="00636F7E"/>
    <w:rsid w:val="00647210"/>
    <w:rsid w:val="0065079B"/>
    <w:rsid w:val="00651C76"/>
    <w:rsid w:val="00663193"/>
    <w:rsid w:val="00685CAE"/>
    <w:rsid w:val="006A7582"/>
    <w:rsid w:val="006B454E"/>
    <w:rsid w:val="006C4EB3"/>
    <w:rsid w:val="006C53C0"/>
    <w:rsid w:val="006F7BB4"/>
    <w:rsid w:val="00711C73"/>
    <w:rsid w:val="00721634"/>
    <w:rsid w:val="00727B02"/>
    <w:rsid w:val="00730ED6"/>
    <w:rsid w:val="00733139"/>
    <w:rsid w:val="007630D8"/>
    <w:rsid w:val="00767801"/>
    <w:rsid w:val="00767ECE"/>
    <w:rsid w:val="00770A7B"/>
    <w:rsid w:val="007C42F0"/>
    <w:rsid w:val="007C6F2C"/>
    <w:rsid w:val="007F5735"/>
    <w:rsid w:val="007F6980"/>
    <w:rsid w:val="008032FD"/>
    <w:rsid w:val="00832D6A"/>
    <w:rsid w:val="0084657F"/>
    <w:rsid w:val="00853322"/>
    <w:rsid w:val="00880C44"/>
    <w:rsid w:val="0088259F"/>
    <w:rsid w:val="008901BF"/>
    <w:rsid w:val="00893F33"/>
    <w:rsid w:val="00894CFB"/>
    <w:rsid w:val="00894E65"/>
    <w:rsid w:val="008A743F"/>
    <w:rsid w:val="008B326D"/>
    <w:rsid w:val="008C3C2A"/>
    <w:rsid w:val="008D22B8"/>
    <w:rsid w:val="008E0DFD"/>
    <w:rsid w:val="008F400F"/>
    <w:rsid w:val="009027C0"/>
    <w:rsid w:val="00933A8E"/>
    <w:rsid w:val="00951E6B"/>
    <w:rsid w:val="009A6366"/>
    <w:rsid w:val="009B2DD6"/>
    <w:rsid w:val="009C1656"/>
    <w:rsid w:val="009D5D6B"/>
    <w:rsid w:val="009E3B75"/>
    <w:rsid w:val="009E6168"/>
    <w:rsid w:val="00A0095F"/>
    <w:rsid w:val="00A06384"/>
    <w:rsid w:val="00A12B5A"/>
    <w:rsid w:val="00A35947"/>
    <w:rsid w:val="00A36C3B"/>
    <w:rsid w:val="00A76652"/>
    <w:rsid w:val="00A82C76"/>
    <w:rsid w:val="00AA5686"/>
    <w:rsid w:val="00AA6659"/>
    <w:rsid w:val="00AB157C"/>
    <w:rsid w:val="00AB7D81"/>
    <w:rsid w:val="00AD37C0"/>
    <w:rsid w:val="00B1242B"/>
    <w:rsid w:val="00B14EF6"/>
    <w:rsid w:val="00B6148F"/>
    <w:rsid w:val="00B74FBD"/>
    <w:rsid w:val="00BB00C6"/>
    <w:rsid w:val="00BB7C38"/>
    <w:rsid w:val="00BC112D"/>
    <w:rsid w:val="00BC23D9"/>
    <w:rsid w:val="00BD246F"/>
    <w:rsid w:val="00BD2AD8"/>
    <w:rsid w:val="00BD695F"/>
    <w:rsid w:val="00BE2B73"/>
    <w:rsid w:val="00BE781F"/>
    <w:rsid w:val="00BF0CC0"/>
    <w:rsid w:val="00BF5FB1"/>
    <w:rsid w:val="00BF6F5C"/>
    <w:rsid w:val="00C275F1"/>
    <w:rsid w:val="00C3271A"/>
    <w:rsid w:val="00C42C45"/>
    <w:rsid w:val="00C60EE3"/>
    <w:rsid w:val="00C84C96"/>
    <w:rsid w:val="00CA4B33"/>
    <w:rsid w:val="00CA5D27"/>
    <w:rsid w:val="00CA7637"/>
    <w:rsid w:val="00CB0DF6"/>
    <w:rsid w:val="00CD78FF"/>
    <w:rsid w:val="00CF4662"/>
    <w:rsid w:val="00D203CB"/>
    <w:rsid w:val="00D700B5"/>
    <w:rsid w:val="00D96AE0"/>
    <w:rsid w:val="00E035B9"/>
    <w:rsid w:val="00E117F8"/>
    <w:rsid w:val="00E2375D"/>
    <w:rsid w:val="00E27E86"/>
    <w:rsid w:val="00E40D69"/>
    <w:rsid w:val="00E97C36"/>
    <w:rsid w:val="00EA550C"/>
    <w:rsid w:val="00EA734E"/>
    <w:rsid w:val="00EB464F"/>
    <w:rsid w:val="00EE5E33"/>
    <w:rsid w:val="00EF1D26"/>
    <w:rsid w:val="00F109B4"/>
    <w:rsid w:val="00F21BAE"/>
    <w:rsid w:val="00F36EAE"/>
    <w:rsid w:val="00F4097D"/>
    <w:rsid w:val="00F4190E"/>
    <w:rsid w:val="00F4433D"/>
    <w:rsid w:val="00F52EDC"/>
    <w:rsid w:val="00F660DF"/>
    <w:rsid w:val="00F848B6"/>
    <w:rsid w:val="00FC508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70BF"/>
  <w15:docId w15:val="{D7A2E08D-37E2-468E-94FB-D99D9606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8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3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7F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1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1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C7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0A0D-95D0-41FD-A4AC-99C85AA2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Speed</dc:creator>
  <cp:lastModifiedBy>Linda Speed</cp:lastModifiedBy>
  <cp:revision>3</cp:revision>
  <cp:lastPrinted>2020-02-13T19:07:00Z</cp:lastPrinted>
  <dcterms:created xsi:type="dcterms:W3CDTF">2020-09-13T10:42:00Z</dcterms:created>
  <dcterms:modified xsi:type="dcterms:W3CDTF">2020-09-14T07:30:00Z</dcterms:modified>
</cp:coreProperties>
</file>