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15726" w14:textId="77777777" w:rsidR="00205C81" w:rsidRPr="008A013E" w:rsidRDefault="00205C81" w:rsidP="007041F2">
      <w:pPr>
        <w:pStyle w:val="NoSpacing"/>
        <w:rPr>
          <w:rFonts w:ascii="Lucida Handwriting" w:hAnsi="Lucida Handwriting"/>
          <w:sz w:val="24"/>
          <w:szCs w:val="24"/>
        </w:rPr>
      </w:pPr>
    </w:p>
    <w:p w14:paraId="3628F12D" w14:textId="77777777" w:rsidR="007041F2" w:rsidRPr="008D0221" w:rsidRDefault="007041F2" w:rsidP="007041F2">
      <w:pPr>
        <w:spacing w:after="0" w:line="240" w:lineRule="auto"/>
        <w:rPr>
          <w:rFonts w:ascii="NTFPreCursivef" w:hAnsi="NTFPreCursivef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60A5A" wp14:editId="22280A5F">
                <wp:simplePos x="0" y="0"/>
                <wp:positionH relativeFrom="column">
                  <wp:posOffset>-41910</wp:posOffset>
                </wp:positionH>
                <wp:positionV relativeFrom="paragraph">
                  <wp:posOffset>-140335</wp:posOffset>
                </wp:positionV>
                <wp:extent cx="860425" cy="767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048E9" w14:textId="77777777" w:rsidR="007041F2" w:rsidRDefault="007041F2" w:rsidP="007041F2">
                            <w:pPr>
                              <w:jc w:val="center"/>
                            </w:pPr>
                            <w:r w:rsidRPr="00900B83">
                              <w:rPr>
                                <w:noProof/>
                              </w:rPr>
                              <w:drawing>
                                <wp:inline distT="0" distB="0" distL="0" distR="0" wp14:anchorId="408FFF8B" wp14:editId="6F4B487E">
                                  <wp:extent cx="510363" cy="510363"/>
                                  <wp:effectExtent l="0" t="0" r="4445" b="4445"/>
                                  <wp:docPr id="1" name="Picture 1" descr="C:\Users\claire.andrews\Documents\Longton Lane Primary\Images\ll 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aire.andrews\Documents\Longton Lane Primary\Images\ll 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874" cy="515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60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-11.05pt;width:67.75pt;height:60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" stroked="f">
                <v:textbox style="mso-fit-shape-to-text:t">
                  <w:txbxContent>
                    <w:p w14:paraId="591048E9" w14:textId="77777777" w:rsidR="007041F2" w:rsidRDefault="007041F2" w:rsidP="007041F2">
                      <w:pPr>
                        <w:jc w:val="center"/>
                      </w:pPr>
                      <w:r w:rsidRPr="00900B83">
                        <w:rPr>
                          <w:noProof/>
                        </w:rPr>
                        <w:drawing>
                          <wp:inline distT="0" distB="0" distL="0" distR="0" wp14:anchorId="408FFF8B" wp14:editId="6F4B487E">
                            <wp:extent cx="510363" cy="510363"/>
                            <wp:effectExtent l="0" t="0" r="4445" b="4445"/>
                            <wp:docPr id="1" name="Picture 1" descr="C:\Users\claire.andrews\Documents\Longton Lane Primary\Images\ll 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aire.andrews\Documents\Longton Lane Primary\Images\ll logo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874" cy="515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b/>
          <w:bCs/>
        </w:rPr>
        <w:t xml:space="preserve">                 </w:t>
      </w:r>
      <w:r w:rsidRPr="008D0221">
        <w:rPr>
          <w:rFonts w:ascii="NTFPreCursivef" w:hAnsi="NTFPreCursivef" w:cs="Arial"/>
          <w:sz w:val="36"/>
          <w:szCs w:val="36"/>
        </w:rPr>
        <w:t>LONGTON LANE COMMUNITY PRIMARY SCHOOL</w:t>
      </w:r>
    </w:p>
    <w:p w14:paraId="5BB9184C" w14:textId="410C0058" w:rsidR="007041F2" w:rsidRPr="007041F2" w:rsidRDefault="007041F2" w:rsidP="007041F2">
      <w:pPr>
        <w:spacing w:after="0" w:line="240" w:lineRule="auto"/>
        <w:rPr>
          <w:rFonts w:ascii="NTFPreCursivef" w:hAnsi="NTFPreCursivef"/>
          <w:b/>
          <w:bCs/>
          <w:color w:val="FF0000"/>
        </w:rPr>
      </w:pPr>
      <w:r w:rsidRPr="00A22022"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                                        </w:t>
      </w:r>
      <w:r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              </w:t>
      </w:r>
      <w:r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              </w:t>
      </w:r>
      <w:r w:rsidRPr="00A22022">
        <w:rPr>
          <w:rFonts w:ascii="Bradley Hand ITC" w:hAnsi="Bradley Hand ITC"/>
          <w:b/>
          <w:bCs/>
          <w:color w:val="FF0000"/>
          <w:sz w:val="32"/>
          <w:szCs w:val="32"/>
        </w:rPr>
        <w:t xml:space="preserve">  ‘Believe and Achieve’</w:t>
      </w:r>
    </w:p>
    <w:p w14:paraId="57729A0D" w14:textId="26A5CF19" w:rsidR="009522C9" w:rsidRPr="007041F2" w:rsidRDefault="00483CCC" w:rsidP="007041F2">
      <w:pPr>
        <w:tabs>
          <w:tab w:val="left" w:pos="1373"/>
          <w:tab w:val="left" w:pos="3585"/>
        </w:tabs>
        <w:spacing w:after="0" w:line="240" w:lineRule="auto"/>
        <w:jc w:val="center"/>
        <w:rPr>
          <w:rFonts w:ascii="NTFPreCursivef" w:hAnsi="NTFPreCursivef"/>
          <w:b/>
          <w:u w:val="single"/>
        </w:rPr>
      </w:pPr>
      <w:r w:rsidRPr="007041F2">
        <w:rPr>
          <w:rFonts w:ascii="NTFPreCursivef" w:hAnsi="NTFPreCursivef"/>
          <w:b/>
          <w:u w:val="single"/>
        </w:rPr>
        <w:t>LONG TERM PLANNING YEAR 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4678"/>
        <w:gridCol w:w="3119"/>
        <w:gridCol w:w="1984"/>
        <w:gridCol w:w="2580"/>
        <w:gridCol w:w="2977"/>
      </w:tblGrid>
      <w:tr w:rsidR="00110610" w:rsidRPr="007041F2" w14:paraId="380D22EF" w14:textId="77777777" w:rsidTr="00110610">
        <w:tc>
          <w:tcPr>
            <w:tcW w:w="22250" w:type="dxa"/>
            <w:gridSpan w:val="7"/>
            <w:shd w:val="clear" w:color="auto" w:fill="D9D9D9" w:themeFill="background1" w:themeFillShade="D9"/>
          </w:tcPr>
          <w:p w14:paraId="066050EC" w14:textId="77777777" w:rsidR="00110610" w:rsidRPr="007041F2" w:rsidRDefault="00110610" w:rsidP="00110610">
            <w:pPr>
              <w:jc w:val="center"/>
              <w:rPr>
                <w:rFonts w:ascii="NTFPreCursivef" w:hAnsi="NTFPreCursivef"/>
                <w:b/>
              </w:rPr>
            </w:pPr>
            <w:r w:rsidRPr="007041F2">
              <w:rPr>
                <w:rFonts w:ascii="NTFPreCursivef" w:hAnsi="NTFPreCursivef"/>
                <w:b/>
              </w:rPr>
              <w:t>ENGLISH</w:t>
            </w:r>
          </w:p>
        </w:tc>
      </w:tr>
      <w:tr w:rsidR="00110610" w:rsidRPr="007041F2" w14:paraId="0870DCBD" w14:textId="77777777" w:rsidTr="007041F2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B020350" w14:textId="77777777" w:rsidR="00110610" w:rsidRPr="007041F2" w:rsidRDefault="00110610" w:rsidP="00110610">
            <w:pPr>
              <w:jc w:val="center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Spoken Word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4601C2" w14:textId="77777777" w:rsidR="00110610" w:rsidRPr="007041F2" w:rsidRDefault="00110610" w:rsidP="00110610">
            <w:pPr>
              <w:jc w:val="center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Word Reading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3BE4651" w14:textId="77777777" w:rsidR="00110610" w:rsidRPr="007041F2" w:rsidRDefault="00110610" w:rsidP="00110610">
            <w:pPr>
              <w:jc w:val="center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Comprehension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59C7F46" w14:textId="77777777" w:rsidR="00110610" w:rsidRPr="007041F2" w:rsidRDefault="00110610" w:rsidP="00110610">
            <w:pPr>
              <w:jc w:val="center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Writing – transcription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CB5ED9" w14:textId="77777777" w:rsidR="00110610" w:rsidRPr="007041F2" w:rsidRDefault="00110610" w:rsidP="00110610">
            <w:pPr>
              <w:jc w:val="center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Writing – Handwriting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28026A13" w14:textId="77777777" w:rsidR="00110610" w:rsidRPr="007041F2" w:rsidRDefault="00110610" w:rsidP="00110610">
            <w:pPr>
              <w:jc w:val="center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Writing – Composition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FAC1A10" w14:textId="77777777" w:rsidR="00110610" w:rsidRPr="007041F2" w:rsidRDefault="00110610" w:rsidP="00110610">
            <w:pPr>
              <w:jc w:val="center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Writing – Grammar, Vocabulary and Punctuation</w:t>
            </w:r>
          </w:p>
        </w:tc>
      </w:tr>
      <w:tr w:rsidR="00110610" w:rsidRPr="007041F2" w14:paraId="1107AD40" w14:textId="77777777" w:rsidTr="007041F2">
        <w:trPr>
          <w:trHeight w:val="11502"/>
        </w:trPr>
        <w:tc>
          <w:tcPr>
            <w:tcW w:w="3652" w:type="dxa"/>
          </w:tcPr>
          <w:p w14:paraId="0C8C23D6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Speaks clearly and with increasing confidence in order to convey simple meanings to an adult.</w:t>
            </w:r>
          </w:p>
          <w:p w14:paraId="77477027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0AA676D7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Retells simple narratives in the correct sequence using appropriate story language.</w:t>
            </w:r>
          </w:p>
          <w:p w14:paraId="2F29D486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72CAD7EB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Recounts experiences and imagines possibilities often connecting ideas.</w:t>
            </w:r>
          </w:p>
          <w:p w14:paraId="6ACA37E6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6ACF5130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Uses a range of vocabulary in imaginative ways to add information, express ideas or to explain/justify actions or events</w:t>
            </w:r>
          </w:p>
          <w:p w14:paraId="2E6A882A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47F6721F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Shows awareness of the listener by making changes to language and non-verbal features.</w:t>
            </w:r>
          </w:p>
          <w:p w14:paraId="5484F84F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0C36E1DE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Listens to others with sustained concentration and responds appropriately to adults and their peers through making relevant comments and suggestions.</w:t>
            </w:r>
          </w:p>
          <w:p w14:paraId="3083BC18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48D3B245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Listens attentively in a larger group and makes appropriate contributions when speaking in turn, in pairs, and in small groups.</w:t>
            </w:r>
          </w:p>
          <w:p w14:paraId="7C6ADAD4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2A59E816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Listens to instructions and follows them accurately asking for clarification if necessary.</w:t>
            </w:r>
          </w:p>
          <w:p w14:paraId="56294B37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093751CE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Works as a member of a group to recount a simple event and discuss matters of immediate interest.</w:t>
            </w:r>
          </w:p>
          <w:p w14:paraId="2A49F0A1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71A10B14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Begins to use gesture to highlight meaning</w:t>
            </w:r>
          </w:p>
          <w:p w14:paraId="4A33001E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2198507F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Adopts simple roles.</w:t>
            </w:r>
          </w:p>
          <w:p w14:paraId="6B54EA8E" w14:textId="77777777" w:rsidR="00DC2E91" w:rsidRPr="007041F2" w:rsidRDefault="00DC2E91" w:rsidP="00DC2E91">
            <w:pPr>
              <w:ind w:left="355"/>
              <w:rPr>
                <w:rFonts w:ascii="NTFPreCursivef" w:hAnsi="NTFPreCursivef" w:cs="Arial"/>
                <w:color w:val="000000"/>
              </w:rPr>
            </w:pPr>
          </w:p>
          <w:p w14:paraId="33B7424C" w14:textId="77777777" w:rsidR="00DC2E91" w:rsidRPr="007041F2" w:rsidRDefault="00DC2E91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Identifies with and explores characters, trying out the language they have listened to.</w:t>
            </w:r>
          </w:p>
          <w:p w14:paraId="298C972C" w14:textId="3F6B258B" w:rsidR="00110610" w:rsidRPr="007041F2" w:rsidRDefault="00110610" w:rsidP="00DC2E91">
            <w:pPr>
              <w:pStyle w:val="bulletundertext"/>
              <w:spacing w:after="0" w:line="240" w:lineRule="auto"/>
              <w:rPr>
                <w:rFonts w:ascii="NTFPreCursivef" w:hAnsi="NTFPreCursivef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03DD7" w14:textId="77777777" w:rsidR="00110610" w:rsidRPr="007041F2" w:rsidRDefault="00110610" w:rsidP="00110610">
            <w:pPr>
              <w:spacing w:before="120" w:after="120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Pupils should be taught to:</w:t>
            </w:r>
          </w:p>
          <w:p w14:paraId="65A12630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apply phonic knowledge and skills as the route to decode words</w:t>
            </w:r>
          </w:p>
          <w:p w14:paraId="7242EB68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respond speedily with the correct sound to graphemes (letters or groups of letters) for all 40+ phonemes, including, where applicable, alternative sounds for graphemes</w:t>
            </w:r>
          </w:p>
          <w:p w14:paraId="0C4DEB2C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read accurately by blending sounds in unfamiliar words containing GPCs that have been taught</w:t>
            </w:r>
          </w:p>
          <w:p w14:paraId="2443AA2A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read common exception words, noting unusual correspondences between spelling and sound and where these occur in the word</w:t>
            </w:r>
          </w:p>
          <w:p w14:paraId="52E3C30E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read words containing taught GPCs and –s, –es, –ing, –ed, –er and –est endings</w:t>
            </w:r>
          </w:p>
          <w:p w14:paraId="06BED9F7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read other words of more than one syllable that contain taught GPCs</w:t>
            </w:r>
          </w:p>
          <w:p w14:paraId="62BC7F18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read words with contractions [for example, I’m, I’ll, we’ll], and understand that the apostrophe represents the omitted letter(s)</w:t>
            </w:r>
          </w:p>
          <w:p w14:paraId="7464958E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read aloud accurately books that are consistent with their developing phonic knowledge and that do not require them to use other strategies to work out words</w:t>
            </w:r>
          </w:p>
          <w:p w14:paraId="51CA609F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re-read these books to build up their fluency and confidence in word reading.</w:t>
            </w:r>
          </w:p>
        </w:tc>
        <w:tc>
          <w:tcPr>
            <w:tcW w:w="4678" w:type="dxa"/>
          </w:tcPr>
          <w:p w14:paraId="5BE98D4D" w14:textId="77777777" w:rsidR="00110610" w:rsidRPr="007041F2" w:rsidRDefault="00110610" w:rsidP="00110610">
            <w:pPr>
              <w:spacing w:before="120" w:after="120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Pupils should be taught to:</w:t>
            </w:r>
          </w:p>
          <w:p w14:paraId="29DE9F23" w14:textId="77777777" w:rsidR="00110610" w:rsidRPr="007041F2" w:rsidRDefault="00110610" w:rsidP="00110610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develop pleasure in reading, motivation to read, vocabulary and understanding by:</w:t>
            </w:r>
          </w:p>
          <w:p w14:paraId="5C8BC539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listening to and discussing a wide range of poems, stories and non-fiction at a level beyond that at which they can read independently</w:t>
            </w:r>
          </w:p>
          <w:p w14:paraId="791A0ECB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being encouraged to link what they read or hear read to their own experiences</w:t>
            </w:r>
          </w:p>
          <w:p w14:paraId="77B681F2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becoming very familiar with key stories, fairy stories and traditional tales, retelling them and considering their particular characteristics</w:t>
            </w:r>
          </w:p>
          <w:p w14:paraId="2FA41907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recognising and joining in with predictable phrases</w:t>
            </w:r>
          </w:p>
          <w:p w14:paraId="4560DB9D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learning to appreciate rhymes and poems, and to recite some by heart</w:t>
            </w:r>
          </w:p>
          <w:p w14:paraId="2FD5E71C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discussing word meanings, linking new meanings to those already known</w:t>
            </w:r>
          </w:p>
          <w:p w14:paraId="3C0FE52E" w14:textId="77777777" w:rsidR="00110610" w:rsidRPr="007041F2" w:rsidRDefault="00110610" w:rsidP="00110610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understand both the books they can already read accurately and fluently and those they listen to by:</w:t>
            </w:r>
          </w:p>
          <w:p w14:paraId="48D7DE8B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drawing on what they already know or on background information and vocabulary provided by the teacher</w:t>
            </w:r>
          </w:p>
          <w:p w14:paraId="1C814341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checking that the text makes sense to them as they read and correcting inaccurate reading</w:t>
            </w:r>
          </w:p>
          <w:p w14:paraId="25FDD667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discussing the significance of the title and events</w:t>
            </w:r>
          </w:p>
          <w:p w14:paraId="1616F354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making inferences on the basis of what is being said and done</w:t>
            </w:r>
          </w:p>
          <w:p w14:paraId="0981A30D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predicting what might happen on the basis of what has been read so far</w:t>
            </w:r>
          </w:p>
          <w:p w14:paraId="4D58F2C7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participate in discussion about what is read to them, taking turns and listening to what others say</w:t>
            </w:r>
          </w:p>
          <w:p w14:paraId="686699F4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explain clearly their understanding of what is read to them.</w:t>
            </w:r>
          </w:p>
        </w:tc>
        <w:tc>
          <w:tcPr>
            <w:tcW w:w="3119" w:type="dxa"/>
          </w:tcPr>
          <w:p w14:paraId="432D016E" w14:textId="77777777" w:rsidR="00110610" w:rsidRPr="007041F2" w:rsidRDefault="00110610" w:rsidP="00110610">
            <w:pPr>
              <w:pStyle w:val="Heading5"/>
              <w:keepNext w:val="0"/>
              <w:outlineLvl w:val="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 xml:space="preserve">Spelling (see </w:t>
            </w:r>
            <w:hyperlink w:anchor="EnglishAppendix1Spelling" w:history="1">
              <w:r w:rsidRPr="007041F2">
                <w:rPr>
                  <w:rStyle w:val="Hyperlink"/>
                  <w:rFonts w:ascii="NTFPreCursivef" w:hAnsi="NTFPreCursivef"/>
                  <w:sz w:val="22"/>
                  <w:szCs w:val="22"/>
                </w:rPr>
                <w:t>English Appendix 1</w:t>
              </w:r>
            </w:hyperlink>
            <w:r w:rsidRPr="007041F2">
              <w:rPr>
                <w:rFonts w:ascii="NTFPreCursivef" w:hAnsi="NTFPreCursivef"/>
                <w:sz w:val="22"/>
                <w:szCs w:val="22"/>
              </w:rPr>
              <w:t>)</w:t>
            </w:r>
          </w:p>
          <w:p w14:paraId="309C9FFF" w14:textId="77777777" w:rsidR="00110610" w:rsidRPr="007041F2" w:rsidRDefault="00110610" w:rsidP="00110610">
            <w:pPr>
              <w:spacing w:after="120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Pupils should be taught to:</w:t>
            </w:r>
          </w:p>
          <w:p w14:paraId="03B2B49C" w14:textId="77777777" w:rsidR="00110610" w:rsidRPr="007041F2" w:rsidRDefault="00110610" w:rsidP="00110610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spell:</w:t>
            </w:r>
          </w:p>
          <w:p w14:paraId="79C77645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words containing each of the 40+ phonemes already taught</w:t>
            </w:r>
          </w:p>
          <w:p w14:paraId="74113EB5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common exception words</w:t>
            </w:r>
          </w:p>
          <w:p w14:paraId="549F9984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the days of the week</w:t>
            </w:r>
          </w:p>
          <w:p w14:paraId="09D14F39" w14:textId="77777777" w:rsidR="00110610" w:rsidRPr="007041F2" w:rsidRDefault="00110610" w:rsidP="00110610">
            <w:pPr>
              <w:pStyle w:val="bulletundertext"/>
              <w:keepNext/>
              <w:spacing w:before="60" w:after="6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name the letters of the alphabet:</w:t>
            </w:r>
          </w:p>
          <w:p w14:paraId="3DD8F142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naming the letters of the alphabet in order</w:t>
            </w:r>
          </w:p>
          <w:p w14:paraId="46AC499E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using letter names to distinguish between alternative spellings of the same sound</w:t>
            </w:r>
          </w:p>
          <w:p w14:paraId="5A9107AA" w14:textId="77777777" w:rsidR="00110610" w:rsidRPr="007041F2" w:rsidRDefault="00110610" w:rsidP="00110610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add prefixes and suffixes:</w:t>
            </w:r>
          </w:p>
          <w:p w14:paraId="08DFF9B9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 xml:space="preserve">using the spelling rule for adding </w:t>
            </w:r>
            <w:r w:rsidRPr="007041F2">
              <w:rPr>
                <w:rFonts w:ascii="NTFPreCursivef" w:hAnsi="NTFPreCursivef"/>
                <w:i/>
                <w:iCs/>
                <w:sz w:val="22"/>
                <w:szCs w:val="22"/>
              </w:rPr>
              <w:t>–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>s</w:t>
            </w:r>
            <w:r w:rsidRPr="007041F2">
              <w:rPr>
                <w:rFonts w:ascii="NTFPreCursivef" w:hAnsi="NTFPreCursivef"/>
                <w:sz w:val="22"/>
                <w:szCs w:val="22"/>
              </w:rPr>
              <w:t xml:space="preserve"> or </w:t>
            </w:r>
            <w:r w:rsidRPr="007041F2">
              <w:rPr>
                <w:rFonts w:ascii="NTFPreCursivef" w:hAnsi="NTFPreCursivef"/>
                <w:i/>
                <w:iCs/>
                <w:sz w:val="22"/>
                <w:szCs w:val="22"/>
              </w:rPr>
              <w:t>–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>es</w:t>
            </w:r>
            <w:r w:rsidRPr="007041F2">
              <w:rPr>
                <w:rFonts w:ascii="NTFPreCursivef" w:hAnsi="NTFPreCursivef"/>
                <w:sz w:val="22"/>
                <w:szCs w:val="22"/>
              </w:rPr>
              <w:t xml:space="preserve"> as the plural marker for nouns and the third person singular marker for verbs</w:t>
            </w:r>
          </w:p>
          <w:p w14:paraId="137BF671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i/>
                <w:iCs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 xml:space="preserve">using the prefix 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>un</w:t>
            </w:r>
            <w:r w:rsidRPr="007041F2">
              <w:rPr>
                <w:rFonts w:ascii="NTFPreCursivef" w:hAnsi="NTFPreCursivef"/>
                <w:i/>
                <w:iCs/>
                <w:sz w:val="22"/>
                <w:szCs w:val="22"/>
              </w:rPr>
              <w:t>–</w:t>
            </w:r>
          </w:p>
          <w:p w14:paraId="15AA046D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120"/>
              <w:ind w:left="924"/>
              <w:rPr>
                <w:rFonts w:ascii="NTFPreCursivef" w:hAnsi="NTFPreCursivef"/>
                <w:iCs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 xml:space="preserve">using </w:t>
            </w:r>
            <w:r w:rsidRPr="007041F2">
              <w:rPr>
                <w:rFonts w:ascii="NTFPreCursivef" w:hAnsi="NTFPreCursivef"/>
                <w:i/>
                <w:iCs/>
                <w:sz w:val="22"/>
                <w:szCs w:val="22"/>
              </w:rPr>
              <w:t>–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>ing</w:t>
            </w:r>
            <w:r w:rsidRPr="007041F2">
              <w:rPr>
                <w:rFonts w:ascii="NTFPreCursivef" w:hAnsi="NTFPreCursivef"/>
                <w:sz w:val="22"/>
                <w:szCs w:val="22"/>
              </w:rPr>
              <w:t>,</w:t>
            </w:r>
            <w:r w:rsidRPr="007041F2">
              <w:rPr>
                <w:rFonts w:ascii="NTFPreCursivef" w:hAnsi="NTFPreCursivef"/>
                <w:i/>
                <w:iCs/>
                <w:sz w:val="22"/>
                <w:szCs w:val="22"/>
              </w:rPr>
              <w:t xml:space="preserve"> –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>ed</w:t>
            </w:r>
            <w:r w:rsidRPr="007041F2">
              <w:rPr>
                <w:rFonts w:ascii="NTFPreCursivef" w:hAnsi="NTFPreCursivef"/>
                <w:sz w:val="22"/>
                <w:szCs w:val="22"/>
              </w:rPr>
              <w:t>,</w:t>
            </w:r>
            <w:r w:rsidRPr="007041F2">
              <w:rPr>
                <w:rFonts w:ascii="NTFPreCursivef" w:hAnsi="NTFPreCursivef"/>
                <w:i/>
                <w:iCs/>
                <w:sz w:val="22"/>
                <w:szCs w:val="22"/>
              </w:rPr>
              <w:t xml:space="preserve"> –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>er</w:t>
            </w:r>
            <w:r w:rsidRPr="007041F2">
              <w:rPr>
                <w:rFonts w:ascii="NTFPreCursivef" w:hAnsi="NTFPreCursivef"/>
                <w:i/>
                <w:iCs/>
                <w:sz w:val="22"/>
                <w:szCs w:val="22"/>
              </w:rPr>
              <w:t xml:space="preserve"> </w:t>
            </w:r>
            <w:r w:rsidRPr="007041F2">
              <w:rPr>
                <w:rFonts w:ascii="NTFPreCursivef" w:hAnsi="NTFPreCursivef"/>
                <w:sz w:val="22"/>
                <w:szCs w:val="22"/>
              </w:rPr>
              <w:t xml:space="preserve">and </w:t>
            </w:r>
            <w:r w:rsidRPr="007041F2">
              <w:rPr>
                <w:rFonts w:ascii="NTFPreCursivef" w:hAnsi="NTFPreCursivef"/>
                <w:i/>
                <w:iCs/>
                <w:sz w:val="22"/>
                <w:szCs w:val="22"/>
              </w:rPr>
              <w:t>–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>est</w:t>
            </w:r>
            <w:r w:rsidRPr="007041F2">
              <w:rPr>
                <w:rFonts w:ascii="NTFPreCursivef" w:hAnsi="NTFPreCursivef"/>
                <w:sz w:val="22"/>
                <w:szCs w:val="22"/>
              </w:rPr>
              <w:t xml:space="preserve"> where no change is needed in the spelling of root words [for example, 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>helping</w:t>
            </w:r>
            <w:r w:rsidRPr="007041F2">
              <w:rPr>
                <w:rFonts w:ascii="NTFPreCursivef" w:hAnsi="NTFPreCursivef"/>
                <w:sz w:val="22"/>
                <w:szCs w:val="22"/>
              </w:rPr>
              <w:t>,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 xml:space="preserve"> helped</w:t>
            </w:r>
            <w:r w:rsidRPr="007041F2">
              <w:rPr>
                <w:rFonts w:ascii="NTFPreCursivef" w:hAnsi="NTFPreCursivef"/>
                <w:sz w:val="22"/>
                <w:szCs w:val="22"/>
              </w:rPr>
              <w:t>,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 xml:space="preserve"> helper</w:t>
            </w:r>
            <w:r w:rsidRPr="007041F2">
              <w:rPr>
                <w:rFonts w:ascii="NTFPreCursivef" w:hAnsi="NTFPreCursivef"/>
                <w:sz w:val="22"/>
                <w:szCs w:val="22"/>
              </w:rPr>
              <w:t>,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 xml:space="preserve"> eating</w:t>
            </w:r>
            <w:r w:rsidRPr="007041F2">
              <w:rPr>
                <w:rFonts w:ascii="NTFPreCursivef" w:hAnsi="NTFPreCursivef"/>
                <w:sz w:val="22"/>
                <w:szCs w:val="22"/>
              </w:rPr>
              <w:t>,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 xml:space="preserve"> quicker</w:t>
            </w:r>
            <w:r w:rsidRPr="007041F2">
              <w:rPr>
                <w:rFonts w:ascii="NTFPreCursivef" w:hAnsi="NTFPreCursivef"/>
                <w:sz w:val="22"/>
                <w:szCs w:val="22"/>
              </w:rPr>
              <w:t>,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 xml:space="preserve"> quickest]</w:t>
            </w:r>
          </w:p>
          <w:p w14:paraId="367885FE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 xml:space="preserve">apply simple spelling rules and guidance, as listed in </w:t>
            </w:r>
            <w:hyperlink w:anchor="EnglishAppendix1Spelling" w:history="1">
              <w:r w:rsidRPr="007041F2">
                <w:rPr>
                  <w:rStyle w:val="Hyperlink"/>
                  <w:rFonts w:ascii="NTFPreCursivef" w:hAnsi="NTFPreCursivef"/>
                  <w:sz w:val="22"/>
                  <w:szCs w:val="22"/>
                </w:rPr>
                <w:t>English Appendix 1</w:t>
              </w:r>
            </w:hyperlink>
          </w:p>
          <w:p w14:paraId="48B9242F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write from memory simple sentences dictated by the teacher that include words using the GPCs and common exception words taught so far.</w:t>
            </w:r>
          </w:p>
        </w:tc>
        <w:tc>
          <w:tcPr>
            <w:tcW w:w="1984" w:type="dxa"/>
          </w:tcPr>
          <w:p w14:paraId="01AE00C9" w14:textId="77777777" w:rsidR="00110610" w:rsidRPr="007041F2" w:rsidRDefault="00110610" w:rsidP="00110610">
            <w:pPr>
              <w:spacing w:before="120" w:after="120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Pupils should be taught to:</w:t>
            </w:r>
          </w:p>
          <w:p w14:paraId="0B60CD1B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sit correctly at a table, holding a pencil comfortably and correctly</w:t>
            </w:r>
          </w:p>
          <w:p w14:paraId="1BA92D20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begin to form lower-case letters in the correct direction, starting and finishing in the right place</w:t>
            </w:r>
          </w:p>
          <w:p w14:paraId="4434E474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form capital letters</w:t>
            </w:r>
          </w:p>
          <w:p w14:paraId="3C2D1DCE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form digits 0-9</w:t>
            </w:r>
          </w:p>
          <w:p w14:paraId="29DD39F6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580" w:type="dxa"/>
          </w:tcPr>
          <w:p w14:paraId="270548D8" w14:textId="77777777" w:rsidR="00110610" w:rsidRPr="007041F2" w:rsidRDefault="00110610" w:rsidP="00110610">
            <w:pPr>
              <w:spacing w:before="120" w:after="120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Pupils should be taught to:</w:t>
            </w:r>
          </w:p>
          <w:p w14:paraId="10C83BF9" w14:textId="77777777" w:rsidR="00110610" w:rsidRPr="007041F2" w:rsidRDefault="00110610" w:rsidP="00110610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write sentences by:</w:t>
            </w:r>
          </w:p>
          <w:p w14:paraId="6CB16717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saying out loud what they are going to write about</w:t>
            </w:r>
          </w:p>
          <w:p w14:paraId="6CCCE0ED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composing a sentence orally before writing it</w:t>
            </w:r>
          </w:p>
          <w:p w14:paraId="0ADDE2CE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sequencing sentences to form short narratives</w:t>
            </w:r>
          </w:p>
          <w:p w14:paraId="7D52B24D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re-reading what they have written to check that it makes sense</w:t>
            </w:r>
          </w:p>
          <w:p w14:paraId="688F4063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discuss what they have written with the teacher or other pupils</w:t>
            </w:r>
          </w:p>
          <w:p w14:paraId="5AA5FF17" w14:textId="77777777" w:rsidR="00110610" w:rsidRPr="007041F2" w:rsidRDefault="00110610" w:rsidP="00110610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read aloud their writing clearly enough to be heard by their peers and the teacher.</w:t>
            </w:r>
          </w:p>
        </w:tc>
        <w:tc>
          <w:tcPr>
            <w:tcW w:w="2977" w:type="dxa"/>
          </w:tcPr>
          <w:p w14:paraId="2D37E920" w14:textId="77777777" w:rsidR="00110610" w:rsidRPr="007041F2" w:rsidRDefault="00110610" w:rsidP="00110610">
            <w:pPr>
              <w:spacing w:before="120" w:after="120"/>
              <w:rPr>
                <w:rFonts w:ascii="NTFPreCursivef" w:hAnsi="NTFPreCursivef"/>
              </w:rPr>
            </w:pPr>
            <w:r w:rsidRPr="007041F2">
              <w:rPr>
                <w:rFonts w:ascii="NTFPreCursivef" w:hAnsi="NTFPreCursivef"/>
              </w:rPr>
              <w:t>Pupils should be taught to:</w:t>
            </w:r>
          </w:p>
          <w:p w14:paraId="54F74D4F" w14:textId="77777777" w:rsidR="00110610" w:rsidRPr="007041F2" w:rsidRDefault="00110610" w:rsidP="00110610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 xml:space="preserve">develop their understanding of the concepts set out in </w:t>
            </w:r>
            <w:hyperlink w:anchor="EnglishAppendix2Vocabulary" w:history="1">
              <w:r w:rsidRPr="007041F2">
                <w:rPr>
                  <w:rStyle w:val="Hyperlink"/>
                  <w:rFonts w:ascii="NTFPreCursivef" w:hAnsi="NTFPreCursivef"/>
                  <w:sz w:val="22"/>
                  <w:szCs w:val="22"/>
                </w:rPr>
                <w:t>English Appendix 2</w:t>
              </w:r>
            </w:hyperlink>
            <w:r w:rsidRPr="007041F2">
              <w:rPr>
                <w:rFonts w:ascii="NTFPreCursivef" w:hAnsi="NTFPreCursivef"/>
                <w:sz w:val="22"/>
                <w:szCs w:val="22"/>
              </w:rPr>
              <w:t xml:space="preserve"> by:</w:t>
            </w:r>
          </w:p>
          <w:p w14:paraId="2E5DC3FD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leaving spaces between words</w:t>
            </w:r>
          </w:p>
          <w:p w14:paraId="5E349727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 xml:space="preserve">joining words and joining clauses using </w:t>
            </w:r>
            <w:r w:rsidRPr="007041F2">
              <w:rPr>
                <w:rFonts w:ascii="NTFPreCursivef" w:hAnsi="NTFPreCursivef"/>
                <w:iCs/>
                <w:sz w:val="22"/>
                <w:szCs w:val="22"/>
              </w:rPr>
              <w:t>and</w:t>
            </w:r>
          </w:p>
          <w:p w14:paraId="22978FA2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beginning to punctuate sentences using a capital letter and a full stop, question mark or exclamation mark</w:t>
            </w:r>
          </w:p>
          <w:p w14:paraId="2B6DF2E0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using a capital letter for names of people, places, the days of the week, and the personal pronoun ‘I’</w:t>
            </w:r>
          </w:p>
          <w:p w14:paraId="340B379E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learning the grammar for year 1 in English Appendix 2</w:t>
            </w:r>
          </w:p>
          <w:p w14:paraId="2D6183BD" w14:textId="77777777" w:rsidR="00110610" w:rsidRPr="007041F2" w:rsidRDefault="00110610" w:rsidP="00110610">
            <w:pPr>
              <w:pStyle w:val="bulletundernumbered"/>
              <w:tabs>
                <w:tab w:val="clear" w:pos="-903"/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7041F2">
              <w:rPr>
                <w:rFonts w:ascii="NTFPreCursivef" w:hAnsi="NTFPreCursivef"/>
                <w:sz w:val="22"/>
                <w:szCs w:val="22"/>
              </w:rPr>
              <w:t>use the grammatical terminology in English Appendix 2 in discussing their writing.</w:t>
            </w:r>
          </w:p>
        </w:tc>
      </w:tr>
    </w:tbl>
    <w:p w14:paraId="49D9E756" w14:textId="4CA5C26C" w:rsidR="00205C81" w:rsidRDefault="00205C81" w:rsidP="00205C81">
      <w:pPr>
        <w:tabs>
          <w:tab w:val="left" w:pos="1373"/>
          <w:tab w:val="left" w:pos="3585"/>
        </w:tabs>
        <w:rPr>
          <w:b/>
          <w:sz w:val="24"/>
          <w:szCs w:val="24"/>
          <w:u w:val="single"/>
        </w:rPr>
      </w:pPr>
      <w:bookmarkStart w:id="0" w:name="_GoBack"/>
      <w:bookmarkEnd w:id="0"/>
    </w:p>
    <w:sectPr w:rsidR="00205C81" w:rsidSect="0011061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42C7" w14:textId="77777777" w:rsidR="009522C9" w:rsidRDefault="009522C9" w:rsidP="00F008BE">
      <w:pPr>
        <w:spacing w:after="0" w:line="240" w:lineRule="auto"/>
      </w:pPr>
      <w:r>
        <w:separator/>
      </w:r>
    </w:p>
  </w:endnote>
  <w:endnote w:type="continuationSeparator" w:id="0">
    <w:p w14:paraId="459B48BF" w14:textId="77777777" w:rsidR="009522C9" w:rsidRDefault="009522C9" w:rsidP="00F0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B8907" w14:textId="77777777" w:rsidR="009522C9" w:rsidRDefault="009522C9" w:rsidP="00F008BE">
      <w:pPr>
        <w:spacing w:after="0" w:line="240" w:lineRule="auto"/>
      </w:pPr>
      <w:r>
        <w:separator/>
      </w:r>
    </w:p>
  </w:footnote>
  <w:footnote w:type="continuationSeparator" w:id="0">
    <w:p w14:paraId="6F2F5FF5" w14:textId="77777777" w:rsidR="009522C9" w:rsidRDefault="009522C9" w:rsidP="00F0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60CE"/>
    <w:multiLevelType w:val="hybridMultilevel"/>
    <w:tmpl w:val="D15E9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-903"/>
        </w:tabs>
        <w:ind w:left="-903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390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" w15:restartNumberingAfterBreak="0">
    <w:nsid w:val="52A3023A"/>
    <w:multiLevelType w:val="hybridMultilevel"/>
    <w:tmpl w:val="4202DD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2"/>
  </w:num>
  <w:num w:numId="18">
    <w:abstractNumId w:val="0"/>
  </w:num>
  <w:num w:numId="19">
    <w:abstractNumId w:val="0"/>
  </w:num>
  <w:num w:numId="20">
    <w:abstractNumId w:val="2"/>
  </w:num>
  <w:num w:numId="21">
    <w:abstractNumId w:val="0"/>
  </w:num>
  <w:num w:numId="22">
    <w:abstractNumId w:val="2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  <w:num w:numId="27">
    <w:abstractNumId w:val="0"/>
  </w:num>
  <w:num w:numId="28">
    <w:abstractNumId w:val="0"/>
  </w:num>
  <w:num w:numId="29">
    <w:abstractNumId w:val="2"/>
  </w:num>
  <w:num w:numId="30">
    <w:abstractNumId w:val="0"/>
  </w:num>
  <w:num w:numId="31">
    <w:abstractNumId w:val="0"/>
  </w:num>
  <w:num w:numId="32">
    <w:abstractNumId w:val="2"/>
  </w:num>
  <w:num w:numId="33">
    <w:abstractNumId w:val="0"/>
  </w:num>
  <w:num w:numId="34">
    <w:abstractNumId w:val="0"/>
  </w:num>
  <w:num w:numId="35">
    <w:abstractNumId w:val="2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2"/>
  </w:num>
  <w:num w:numId="4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3E"/>
    <w:rsid w:val="000556EF"/>
    <w:rsid w:val="000A1F28"/>
    <w:rsid w:val="000B43C8"/>
    <w:rsid w:val="000B7A0F"/>
    <w:rsid w:val="0010403B"/>
    <w:rsid w:val="00110610"/>
    <w:rsid w:val="00124C01"/>
    <w:rsid w:val="00172935"/>
    <w:rsid w:val="001B4549"/>
    <w:rsid w:val="001C48EB"/>
    <w:rsid w:val="001D29E3"/>
    <w:rsid w:val="00205C81"/>
    <w:rsid w:val="002237DF"/>
    <w:rsid w:val="0023197E"/>
    <w:rsid w:val="00240ADD"/>
    <w:rsid w:val="0031610B"/>
    <w:rsid w:val="00355F7D"/>
    <w:rsid w:val="003670C5"/>
    <w:rsid w:val="00367B0A"/>
    <w:rsid w:val="003717BE"/>
    <w:rsid w:val="003A19C1"/>
    <w:rsid w:val="003B0A91"/>
    <w:rsid w:val="003B2D51"/>
    <w:rsid w:val="0046433D"/>
    <w:rsid w:val="00483CCC"/>
    <w:rsid w:val="004C2D96"/>
    <w:rsid w:val="004E76E6"/>
    <w:rsid w:val="004F16FD"/>
    <w:rsid w:val="00564638"/>
    <w:rsid w:val="00573660"/>
    <w:rsid w:val="005834E5"/>
    <w:rsid w:val="00583B52"/>
    <w:rsid w:val="005C4EE8"/>
    <w:rsid w:val="005C7E24"/>
    <w:rsid w:val="005E0975"/>
    <w:rsid w:val="005F66EE"/>
    <w:rsid w:val="006219DE"/>
    <w:rsid w:val="00674B9E"/>
    <w:rsid w:val="00690145"/>
    <w:rsid w:val="00691BAF"/>
    <w:rsid w:val="00696608"/>
    <w:rsid w:val="006F6719"/>
    <w:rsid w:val="007041F2"/>
    <w:rsid w:val="00720322"/>
    <w:rsid w:val="00724A3D"/>
    <w:rsid w:val="00725D68"/>
    <w:rsid w:val="00740A9A"/>
    <w:rsid w:val="00741C13"/>
    <w:rsid w:val="00744DAD"/>
    <w:rsid w:val="0075387E"/>
    <w:rsid w:val="007F659D"/>
    <w:rsid w:val="00837AA2"/>
    <w:rsid w:val="00863F1C"/>
    <w:rsid w:val="00890E5B"/>
    <w:rsid w:val="00892CB6"/>
    <w:rsid w:val="008A013E"/>
    <w:rsid w:val="008A018F"/>
    <w:rsid w:val="008D5FC9"/>
    <w:rsid w:val="009522C9"/>
    <w:rsid w:val="00963852"/>
    <w:rsid w:val="00976777"/>
    <w:rsid w:val="009F5D8B"/>
    <w:rsid w:val="00A352AF"/>
    <w:rsid w:val="00A86472"/>
    <w:rsid w:val="00AA1EEA"/>
    <w:rsid w:val="00AB03C0"/>
    <w:rsid w:val="00B06A31"/>
    <w:rsid w:val="00B55CA5"/>
    <w:rsid w:val="00B61C8F"/>
    <w:rsid w:val="00BD660A"/>
    <w:rsid w:val="00BE492F"/>
    <w:rsid w:val="00BE53E3"/>
    <w:rsid w:val="00C15040"/>
    <w:rsid w:val="00C23AC0"/>
    <w:rsid w:val="00C4777F"/>
    <w:rsid w:val="00C75C4B"/>
    <w:rsid w:val="00CB7C71"/>
    <w:rsid w:val="00CE0054"/>
    <w:rsid w:val="00CF3D4F"/>
    <w:rsid w:val="00D04574"/>
    <w:rsid w:val="00D312A3"/>
    <w:rsid w:val="00D54876"/>
    <w:rsid w:val="00D779A0"/>
    <w:rsid w:val="00DC2E91"/>
    <w:rsid w:val="00DF11A7"/>
    <w:rsid w:val="00E02006"/>
    <w:rsid w:val="00E35895"/>
    <w:rsid w:val="00E766B8"/>
    <w:rsid w:val="00E802A3"/>
    <w:rsid w:val="00EA0C84"/>
    <w:rsid w:val="00EA5631"/>
    <w:rsid w:val="00EC2E94"/>
    <w:rsid w:val="00F008BE"/>
    <w:rsid w:val="00F021F6"/>
    <w:rsid w:val="00F41336"/>
    <w:rsid w:val="00F707C2"/>
    <w:rsid w:val="00F8294C"/>
    <w:rsid w:val="00F85706"/>
    <w:rsid w:val="00F93878"/>
    <w:rsid w:val="00FD3FCD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  <w14:docId w14:val="02D80940"/>
  <w15:docId w15:val="{12361D3F-7943-449A-928D-1BD9DAB1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367B0A"/>
    <w:pPr>
      <w:keepLines w:val="0"/>
      <w:spacing w:before="120" w:after="60" w:line="288" w:lineRule="auto"/>
      <w:outlineLvl w:val="4"/>
    </w:pPr>
    <w:rPr>
      <w:rFonts w:ascii="Arial" w:eastAsia="Times New Roman" w:hAnsi="Arial" w:cs="Times New Roman"/>
      <w:b/>
      <w:i w:val="0"/>
      <w:color w:val="auto"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13E"/>
    <w:pPr>
      <w:spacing w:after="0" w:line="240" w:lineRule="auto"/>
    </w:pPr>
  </w:style>
  <w:style w:type="table" w:styleId="TableGrid">
    <w:name w:val="Table Grid"/>
    <w:basedOn w:val="TableNormal"/>
    <w:uiPriority w:val="59"/>
    <w:rsid w:val="008A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BE"/>
  </w:style>
  <w:style w:type="paragraph" w:styleId="Footer">
    <w:name w:val="footer"/>
    <w:basedOn w:val="Normal"/>
    <w:link w:val="FooterChar"/>
    <w:uiPriority w:val="99"/>
    <w:unhideWhenUsed/>
    <w:rsid w:val="00F0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8BE"/>
  </w:style>
  <w:style w:type="paragraph" w:styleId="BalloonText">
    <w:name w:val="Balloon Text"/>
    <w:basedOn w:val="Normal"/>
    <w:link w:val="BalloonTextChar"/>
    <w:uiPriority w:val="99"/>
    <w:semiHidden/>
    <w:unhideWhenUsed/>
    <w:rsid w:val="00E0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06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F9387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rsid w:val="006219DE"/>
    <w:pPr>
      <w:numPr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67B0A"/>
    <w:rPr>
      <w:rFonts w:ascii="Arial" w:eastAsia="Times New Roman" w:hAnsi="Arial" w:cs="Times New Roman"/>
      <w:b/>
      <w:iCs/>
      <w:sz w:val="24"/>
      <w:szCs w:val="26"/>
      <w:lang w:eastAsia="en-US"/>
    </w:rPr>
  </w:style>
  <w:style w:type="character" w:styleId="Hyperlink">
    <w:name w:val="Hyperlink"/>
    <w:semiHidden/>
    <w:unhideWhenUsed/>
    <w:rsid w:val="00367B0A"/>
    <w:rPr>
      <w:rFonts w:ascii="Arial" w:hAnsi="Arial" w:cs="Times New Roman" w:hint="default"/>
      <w:color w:val="104F75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83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B5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05C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8" ma:contentTypeDescription="Create a new document." ma:contentTypeScope="" ma:versionID="ff056378b8b554de0d1396a13572d777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67f2467fbd43d56b7b5d0eb28f2e6179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Props1.xml><?xml version="1.0" encoding="utf-8"?>
<ds:datastoreItem xmlns:ds="http://schemas.openxmlformats.org/officeDocument/2006/customXml" ds:itemID="{336AF8A0-BD46-4CF0-A31C-6978EC777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B4475-6A67-447B-A3EB-AFB67D1D6252}"/>
</file>

<file path=customXml/itemProps3.xml><?xml version="1.0" encoding="utf-8"?>
<ds:datastoreItem xmlns:ds="http://schemas.openxmlformats.org/officeDocument/2006/customXml" ds:itemID="{63134D09-3270-4F33-9051-296F9E2F9CFF}"/>
</file>

<file path=customXml/itemProps4.xml><?xml version="1.0" encoding="utf-8"?>
<ds:datastoreItem xmlns:ds="http://schemas.openxmlformats.org/officeDocument/2006/customXml" ds:itemID="{FD055092-7921-4620-9424-3E84DC56C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Claire Andrews</cp:lastModifiedBy>
  <cp:revision>8</cp:revision>
  <cp:lastPrinted>2014-03-11T15:06:00Z</cp:lastPrinted>
  <dcterms:created xsi:type="dcterms:W3CDTF">2014-03-12T19:39:00Z</dcterms:created>
  <dcterms:modified xsi:type="dcterms:W3CDTF">2020-05-21T14:44:00Z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Order">
    <vt:r8>831800</vt:r8>
  </property>
  <property fmtid="{D5CDD505-2E9C-101B-9397-08002B2CF9AE}" pid="4" name="MediaServiceImageTags">
    <vt:lpwstr/>
  </property>
</Properties>
</file>