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19"/>
        <w:tblW w:w="0" w:type="auto"/>
        <w:tblLook w:val="04A0" w:firstRow="1" w:lastRow="0" w:firstColumn="1" w:lastColumn="0" w:noHBand="0" w:noVBand="1"/>
      </w:tblPr>
      <w:tblGrid>
        <w:gridCol w:w="1242"/>
        <w:gridCol w:w="2315"/>
        <w:gridCol w:w="2315"/>
        <w:gridCol w:w="2316"/>
        <w:gridCol w:w="2315"/>
        <w:gridCol w:w="2315"/>
        <w:gridCol w:w="2316"/>
      </w:tblGrid>
      <w:tr w:rsidR="008628B6" w:rsidRPr="001F3994" w14:paraId="7680F6E1" w14:textId="77777777" w:rsidTr="00233049">
        <w:tc>
          <w:tcPr>
            <w:tcW w:w="1242" w:type="dxa"/>
          </w:tcPr>
          <w:p w14:paraId="78373061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  <w:tc>
          <w:tcPr>
            <w:tcW w:w="2315" w:type="dxa"/>
          </w:tcPr>
          <w:p w14:paraId="7847E4AF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Autumn 1</w:t>
            </w:r>
          </w:p>
        </w:tc>
        <w:tc>
          <w:tcPr>
            <w:tcW w:w="2315" w:type="dxa"/>
          </w:tcPr>
          <w:p w14:paraId="791CF9B1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Autumn 2</w:t>
            </w:r>
          </w:p>
        </w:tc>
        <w:tc>
          <w:tcPr>
            <w:tcW w:w="2316" w:type="dxa"/>
          </w:tcPr>
          <w:p w14:paraId="67A3FFB2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Spring 1</w:t>
            </w:r>
          </w:p>
        </w:tc>
        <w:tc>
          <w:tcPr>
            <w:tcW w:w="2315" w:type="dxa"/>
          </w:tcPr>
          <w:p w14:paraId="19954E5F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Spring 2</w:t>
            </w:r>
          </w:p>
        </w:tc>
        <w:tc>
          <w:tcPr>
            <w:tcW w:w="2315" w:type="dxa"/>
          </w:tcPr>
          <w:p w14:paraId="0FEC4BE9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Summer 1</w:t>
            </w:r>
          </w:p>
        </w:tc>
        <w:tc>
          <w:tcPr>
            <w:tcW w:w="2316" w:type="dxa"/>
          </w:tcPr>
          <w:p w14:paraId="7728E25D" w14:textId="77777777" w:rsidR="008628B6" w:rsidRPr="001F3994" w:rsidRDefault="008628B6" w:rsidP="00DB5824">
            <w:pPr>
              <w:jc w:val="center"/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Summer 2</w:t>
            </w:r>
          </w:p>
        </w:tc>
      </w:tr>
      <w:tr w:rsidR="008628B6" w:rsidRPr="001F3994" w14:paraId="7497B260" w14:textId="77777777" w:rsidTr="00233049">
        <w:tc>
          <w:tcPr>
            <w:tcW w:w="1242" w:type="dxa"/>
          </w:tcPr>
          <w:p w14:paraId="4C8C018F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1</w:t>
            </w:r>
          </w:p>
        </w:tc>
        <w:tc>
          <w:tcPr>
            <w:tcW w:w="2315" w:type="dxa"/>
          </w:tcPr>
          <w:p w14:paraId="3224B37A" w14:textId="77777777" w:rsidR="00DB5824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  <w:p w14:paraId="450611B5" w14:textId="77777777" w:rsidR="00DB5824" w:rsidRPr="001F3994" w:rsidRDefault="00DB5824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  <w:tc>
          <w:tcPr>
            <w:tcW w:w="2315" w:type="dxa"/>
          </w:tcPr>
          <w:p w14:paraId="14E2240C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C0000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C00000"/>
                <w:sz w:val="32"/>
              </w:rPr>
              <w:t>Seasonal Changes</w:t>
            </w:r>
          </w:p>
          <w:p w14:paraId="428DAB4A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4FF101EF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7030A0"/>
                <w:sz w:val="32"/>
              </w:rPr>
              <w:t>Everyday  Materials</w:t>
            </w:r>
          </w:p>
        </w:tc>
        <w:tc>
          <w:tcPr>
            <w:tcW w:w="2316" w:type="dxa"/>
          </w:tcPr>
          <w:p w14:paraId="6BE415AC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7030A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7030A0"/>
                <w:sz w:val="32"/>
              </w:rPr>
              <w:t>Everyday Materials</w:t>
            </w:r>
          </w:p>
        </w:tc>
        <w:tc>
          <w:tcPr>
            <w:tcW w:w="2315" w:type="dxa"/>
          </w:tcPr>
          <w:p w14:paraId="28205E3F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</w:tc>
        <w:tc>
          <w:tcPr>
            <w:tcW w:w="2315" w:type="dxa"/>
          </w:tcPr>
          <w:p w14:paraId="7CCC6CFA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C00000"/>
                <w:sz w:val="32"/>
              </w:rPr>
              <w:t>Seasonal Changes</w:t>
            </w:r>
          </w:p>
        </w:tc>
        <w:tc>
          <w:tcPr>
            <w:tcW w:w="2316" w:type="dxa"/>
          </w:tcPr>
          <w:p w14:paraId="497DA7B5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B05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50"/>
                <w:sz w:val="32"/>
              </w:rPr>
              <w:t>Plants</w:t>
            </w:r>
          </w:p>
        </w:tc>
      </w:tr>
      <w:tr w:rsidR="008628B6" w:rsidRPr="001F3994" w14:paraId="599DE43D" w14:textId="77777777" w:rsidTr="00233049">
        <w:tc>
          <w:tcPr>
            <w:tcW w:w="1242" w:type="dxa"/>
          </w:tcPr>
          <w:p w14:paraId="7AA31517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2</w:t>
            </w:r>
          </w:p>
        </w:tc>
        <w:tc>
          <w:tcPr>
            <w:tcW w:w="2315" w:type="dxa"/>
          </w:tcPr>
          <w:p w14:paraId="5D6D1C3F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Revision of Y1 Animals</w:t>
            </w:r>
          </w:p>
          <w:p w14:paraId="3DE197B2" w14:textId="77777777" w:rsidR="00DB5824" w:rsidRPr="001F3994" w:rsidRDefault="00DB5824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  <w:tc>
          <w:tcPr>
            <w:tcW w:w="2315" w:type="dxa"/>
          </w:tcPr>
          <w:p w14:paraId="12855658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79646" w:themeColor="accent6"/>
                <w:sz w:val="32"/>
              </w:rPr>
              <w:t>Living things and their habitats</w:t>
            </w:r>
          </w:p>
        </w:tc>
        <w:tc>
          <w:tcPr>
            <w:tcW w:w="2316" w:type="dxa"/>
          </w:tcPr>
          <w:p w14:paraId="204E16CF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7030A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7030A0"/>
                <w:sz w:val="32"/>
              </w:rPr>
              <w:t xml:space="preserve">Uses of Everyday Materials </w:t>
            </w:r>
          </w:p>
        </w:tc>
        <w:tc>
          <w:tcPr>
            <w:tcW w:w="2315" w:type="dxa"/>
          </w:tcPr>
          <w:p w14:paraId="6ECDB67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</w:tc>
        <w:tc>
          <w:tcPr>
            <w:tcW w:w="2315" w:type="dxa"/>
          </w:tcPr>
          <w:p w14:paraId="64DD3CE8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79646" w:themeColor="accent6"/>
                <w:sz w:val="32"/>
              </w:rPr>
              <w:t>Living things and their habitats</w:t>
            </w:r>
          </w:p>
        </w:tc>
        <w:tc>
          <w:tcPr>
            <w:tcW w:w="2316" w:type="dxa"/>
          </w:tcPr>
          <w:p w14:paraId="1676761D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B05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50"/>
                <w:sz w:val="32"/>
              </w:rPr>
              <w:t>Plants</w:t>
            </w:r>
          </w:p>
        </w:tc>
      </w:tr>
      <w:tr w:rsidR="008628B6" w:rsidRPr="001F3994" w14:paraId="60ABDF7B" w14:textId="77777777" w:rsidTr="00233049">
        <w:tc>
          <w:tcPr>
            <w:tcW w:w="1242" w:type="dxa"/>
          </w:tcPr>
          <w:p w14:paraId="1949F0B9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3</w:t>
            </w:r>
          </w:p>
        </w:tc>
        <w:tc>
          <w:tcPr>
            <w:tcW w:w="2315" w:type="dxa"/>
          </w:tcPr>
          <w:p w14:paraId="44A4A6A6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>Review of KS1</w:t>
            </w:r>
            <w:r w:rsidRPr="001F3994">
              <w:rPr>
                <w:rFonts w:ascii="NTPreCursivef" w:hAnsi="NTPreCursivef" w:cs="Arial"/>
                <w:b/>
                <w:sz w:val="32"/>
              </w:rPr>
              <w:t xml:space="preserve"> </w:t>
            </w:r>
          </w:p>
          <w:p w14:paraId="7B9A060B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5EE6C8BC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F0"/>
                <w:sz w:val="32"/>
              </w:rPr>
              <w:t>Forces and Magnets</w:t>
            </w:r>
          </w:p>
        </w:tc>
        <w:tc>
          <w:tcPr>
            <w:tcW w:w="2315" w:type="dxa"/>
          </w:tcPr>
          <w:p w14:paraId="56AFAE2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F0"/>
                <w:sz w:val="32"/>
              </w:rPr>
              <w:t>Forces and Magnets</w:t>
            </w:r>
          </w:p>
        </w:tc>
        <w:tc>
          <w:tcPr>
            <w:tcW w:w="2316" w:type="dxa"/>
          </w:tcPr>
          <w:p w14:paraId="2CB8466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C0504D" w:themeColor="accent2"/>
                <w:sz w:val="32"/>
              </w:rPr>
              <w:t>Rocks</w:t>
            </w:r>
          </w:p>
        </w:tc>
        <w:tc>
          <w:tcPr>
            <w:tcW w:w="2315" w:type="dxa"/>
          </w:tcPr>
          <w:p w14:paraId="34711D5B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</w:tc>
        <w:tc>
          <w:tcPr>
            <w:tcW w:w="2315" w:type="dxa"/>
          </w:tcPr>
          <w:p w14:paraId="727FFA48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66"/>
                <w:sz w:val="32"/>
              </w:rPr>
              <w:t>Light</w:t>
            </w:r>
          </w:p>
        </w:tc>
        <w:tc>
          <w:tcPr>
            <w:tcW w:w="2316" w:type="dxa"/>
          </w:tcPr>
          <w:p w14:paraId="32B18E46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B05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50"/>
                <w:sz w:val="32"/>
              </w:rPr>
              <w:t>Plants</w:t>
            </w:r>
          </w:p>
        </w:tc>
      </w:tr>
      <w:tr w:rsidR="008628B6" w:rsidRPr="001F3994" w14:paraId="7F6B4DE5" w14:textId="77777777" w:rsidTr="00233049">
        <w:tc>
          <w:tcPr>
            <w:tcW w:w="1242" w:type="dxa"/>
          </w:tcPr>
          <w:p w14:paraId="3CA95989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4</w:t>
            </w:r>
          </w:p>
        </w:tc>
        <w:tc>
          <w:tcPr>
            <w:tcW w:w="2315" w:type="dxa"/>
          </w:tcPr>
          <w:p w14:paraId="47DCAD2B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FF000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 xml:space="preserve">Review of Y3 </w:t>
            </w:r>
          </w:p>
          <w:p w14:paraId="77EC20A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38ACFB2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79646" w:themeColor="accent6"/>
                <w:sz w:val="32"/>
              </w:rPr>
              <w:t>Living things and their habitats</w:t>
            </w:r>
          </w:p>
        </w:tc>
        <w:tc>
          <w:tcPr>
            <w:tcW w:w="2315" w:type="dxa"/>
          </w:tcPr>
          <w:p w14:paraId="5F2B332C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92D050"/>
                <w:sz w:val="32"/>
              </w:rPr>
              <w:t>Sound</w:t>
            </w:r>
          </w:p>
        </w:tc>
        <w:tc>
          <w:tcPr>
            <w:tcW w:w="2316" w:type="dxa"/>
          </w:tcPr>
          <w:p w14:paraId="17570770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>Electricity</w:t>
            </w:r>
          </w:p>
        </w:tc>
        <w:tc>
          <w:tcPr>
            <w:tcW w:w="2315" w:type="dxa"/>
          </w:tcPr>
          <w:p w14:paraId="00C50F1C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</w:tc>
        <w:tc>
          <w:tcPr>
            <w:tcW w:w="2315" w:type="dxa"/>
          </w:tcPr>
          <w:p w14:paraId="22E15A39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  <w:p w14:paraId="3A4F0743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04D6706B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  <w:t>States of Matter</w:t>
            </w:r>
          </w:p>
          <w:p w14:paraId="31A37736" w14:textId="77777777" w:rsidR="008628B6" w:rsidRPr="001F3994" w:rsidRDefault="00DB5824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  <w:t>(</w:t>
            </w:r>
            <w:r w:rsidR="008628B6" w:rsidRPr="001F3994"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  <w:t>Water Cycle</w:t>
            </w:r>
            <w:r w:rsidRPr="001F3994"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  <w:t>)</w:t>
            </w:r>
          </w:p>
        </w:tc>
        <w:tc>
          <w:tcPr>
            <w:tcW w:w="2316" w:type="dxa"/>
          </w:tcPr>
          <w:p w14:paraId="67213140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A6A6A6" w:themeColor="background1" w:themeShade="A6"/>
                <w:sz w:val="32"/>
              </w:rPr>
              <w:t>States of Matter</w:t>
            </w:r>
          </w:p>
        </w:tc>
      </w:tr>
      <w:tr w:rsidR="008628B6" w:rsidRPr="001F3994" w14:paraId="690F1F12" w14:textId="77777777" w:rsidTr="00233049">
        <w:tc>
          <w:tcPr>
            <w:tcW w:w="1242" w:type="dxa"/>
          </w:tcPr>
          <w:p w14:paraId="52984EBD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5</w:t>
            </w:r>
          </w:p>
        </w:tc>
        <w:tc>
          <w:tcPr>
            <w:tcW w:w="2315" w:type="dxa"/>
          </w:tcPr>
          <w:p w14:paraId="38118EF0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color w:val="FF000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 xml:space="preserve">Review of Y4 </w:t>
            </w:r>
          </w:p>
          <w:p w14:paraId="14A564B5" w14:textId="77777777" w:rsidR="00233049" w:rsidRPr="001F3994" w:rsidRDefault="00233049" w:rsidP="00233049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28152D3A" w14:textId="77777777" w:rsidR="00DB5824" w:rsidRPr="001F3994" w:rsidRDefault="00233049" w:rsidP="00233049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7030A0"/>
                <w:sz w:val="32"/>
              </w:rPr>
              <w:t>Properties and changes in materials</w:t>
            </w:r>
          </w:p>
        </w:tc>
        <w:tc>
          <w:tcPr>
            <w:tcW w:w="2315" w:type="dxa"/>
          </w:tcPr>
          <w:p w14:paraId="4F74C9C2" w14:textId="77777777" w:rsidR="008628B6" w:rsidRPr="001F3994" w:rsidRDefault="006A0690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7030A0"/>
                <w:sz w:val="32"/>
              </w:rPr>
              <w:t>Properties and changes in materials</w:t>
            </w:r>
          </w:p>
        </w:tc>
        <w:tc>
          <w:tcPr>
            <w:tcW w:w="2316" w:type="dxa"/>
          </w:tcPr>
          <w:p w14:paraId="4E6D0073" w14:textId="77777777" w:rsidR="00233049" w:rsidRPr="001F3994" w:rsidRDefault="00233049" w:rsidP="00233049">
            <w:pPr>
              <w:rPr>
                <w:rFonts w:ascii="NTPreCursivef" w:hAnsi="NTPreCursivef" w:cs="Arial"/>
                <w:b/>
                <w:color w:val="00B05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B050"/>
                <w:sz w:val="32"/>
              </w:rPr>
              <w:t>Forces</w:t>
            </w:r>
          </w:p>
          <w:p w14:paraId="46B727F9" w14:textId="77777777" w:rsidR="00233049" w:rsidRPr="001F3994" w:rsidRDefault="00233049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7B856062" w14:textId="77777777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  <w:tc>
          <w:tcPr>
            <w:tcW w:w="2315" w:type="dxa"/>
          </w:tcPr>
          <w:p w14:paraId="46CF8324" w14:textId="77777777" w:rsidR="006A0690" w:rsidRPr="001F3994" w:rsidRDefault="00233049" w:rsidP="00DB5824">
            <w:pPr>
              <w:rPr>
                <w:rFonts w:ascii="NTPreCursivef" w:hAnsi="NTPreCursivef" w:cs="Arial"/>
                <w:b/>
                <w:color w:val="CC66FF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CC66FF"/>
                <w:sz w:val="32"/>
              </w:rPr>
              <w:t xml:space="preserve">Earth and Space </w:t>
            </w:r>
          </w:p>
          <w:p w14:paraId="21E6D984" w14:textId="77777777" w:rsidR="006A0690" w:rsidRPr="001F3994" w:rsidRDefault="006A0690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  <w:tc>
          <w:tcPr>
            <w:tcW w:w="2315" w:type="dxa"/>
          </w:tcPr>
          <w:p w14:paraId="303363D6" w14:textId="77777777" w:rsidR="008628B6" w:rsidRPr="001F3994" w:rsidRDefault="006A0690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66"/>
                <w:sz w:val="32"/>
              </w:rPr>
              <w:t>Light</w:t>
            </w:r>
          </w:p>
        </w:tc>
        <w:tc>
          <w:tcPr>
            <w:tcW w:w="2316" w:type="dxa"/>
          </w:tcPr>
          <w:p w14:paraId="3E89DC23" w14:textId="77777777" w:rsidR="002D227C" w:rsidRPr="001F3994" w:rsidRDefault="002D227C" w:rsidP="002D227C">
            <w:pPr>
              <w:rPr>
                <w:rFonts w:ascii="NTPreCursivef" w:hAnsi="NTPreCursivef" w:cs="Arial"/>
                <w:b/>
                <w:color w:val="0070C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>Animals including humans</w:t>
            </w:r>
          </w:p>
          <w:p w14:paraId="49CF0AEC" w14:textId="77777777" w:rsidR="002D227C" w:rsidRPr="001F3994" w:rsidRDefault="002D227C" w:rsidP="00DB5824">
            <w:pPr>
              <w:rPr>
                <w:rFonts w:ascii="NTPreCursivef" w:hAnsi="NTPreCursivef" w:cs="Arial"/>
                <w:b/>
                <w:color w:val="F79646" w:themeColor="accent6"/>
                <w:sz w:val="32"/>
              </w:rPr>
            </w:pPr>
          </w:p>
          <w:p w14:paraId="26E2E244" w14:textId="35357E00" w:rsidR="008628B6" w:rsidRPr="001F3994" w:rsidRDefault="008628B6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</w:tc>
      </w:tr>
      <w:tr w:rsidR="00867BD3" w:rsidRPr="001F3994" w14:paraId="2F0DB60C" w14:textId="77777777" w:rsidTr="00233049">
        <w:tc>
          <w:tcPr>
            <w:tcW w:w="1242" w:type="dxa"/>
          </w:tcPr>
          <w:p w14:paraId="0427E39D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  <w:u w:val="single"/>
              </w:rPr>
            </w:pPr>
            <w:r w:rsidRPr="001F3994">
              <w:rPr>
                <w:rFonts w:ascii="NTPreCursivef" w:hAnsi="NTPreCursivef" w:cs="Arial"/>
                <w:b/>
                <w:sz w:val="32"/>
                <w:u w:val="single"/>
              </w:rPr>
              <w:t>Year 6</w:t>
            </w:r>
          </w:p>
        </w:tc>
        <w:tc>
          <w:tcPr>
            <w:tcW w:w="2315" w:type="dxa"/>
          </w:tcPr>
          <w:p w14:paraId="0953AAFF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color w:val="FF0000"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>Review of Y5</w:t>
            </w:r>
          </w:p>
          <w:p w14:paraId="69D3AB83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</w:p>
          <w:p w14:paraId="7867A73D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79646" w:themeColor="accent6"/>
                <w:sz w:val="32"/>
              </w:rPr>
              <w:t>Living things and their habitats</w:t>
            </w:r>
          </w:p>
        </w:tc>
        <w:tc>
          <w:tcPr>
            <w:tcW w:w="2315" w:type="dxa"/>
          </w:tcPr>
          <w:p w14:paraId="3B87C985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C000"/>
                <w:sz w:val="32"/>
              </w:rPr>
              <w:t>Evolution and Inheritance</w:t>
            </w:r>
          </w:p>
        </w:tc>
        <w:tc>
          <w:tcPr>
            <w:tcW w:w="2316" w:type="dxa"/>
          </w:tcPr>
          <w:p w14:paraId="634ABE9E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FF0000"/>
                <w:sz w:val="32"/>
              </w:rPr>
              <w:t xml:space="preserve">Electricity </w:t>
            </w:r>
          </w:p>
        </w:tc>
        <w:tc>
          <w:tcPr>
            <w:tcW w:w="2315" w:type="dxa"/>
          </w:tcPr>
          <w:p w14:paraId="457FA24B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color w:val="0070C0"/>
                <w:sz w:val="32"/>
              </w:rPr>
              <w:t xml:space="preserve">Animals including humans </w:t>
            </w:r>
          </w:p>
        </w:tc>
        <w:tc>
          <w:tcPr>
            <w:tcW w:w="4631" w:type="dxa"/>
            <w:gridSpan w:val="2"/>
          </w:tcPr>
          <w:p w14:paraId="4C81EA7E" w14:textId="77777777" w:rsidR="00867BD3" w:rsidRPr="001F3994" w:rsidRDefault="00867BD3" w:rsidP="00DB5824">
            <w:pPr>
              <w:rPr>
                <w:rFonts w:ascii="NTPreCursivef" w:hAnsi="NTPreCursivef" w:cs="Arial"/>
                <w:b/>
                <w:sz w:val="32"/>
              </w:rPr>
            </w:pPr>
            <w:r w:rsidRPr="001F3994">
              <w:rPr>
                <w:rFonts w:ascii="NTPreCursivef" w:hAnsi="NTPreCursivef" w:cs="Arial"/>
                <w:b/>
                <w:sz w:val="32"/>
              </w:rPr>
              <w:t>Revision of KS2 work to check knowledge and understanding</w:t>
            </w:r>
          </w:p>
        </w:tc>
      </w:tr>
    </w:tbl>
    <w:p w14:paraId="3C0DAEC5" w14:textId="77777777" w:rsidR="00DB5824" w:rsidRPr="001F3994" w:rsidRDefault="00DB5824" w:rsidP="00DB5824">
      <w:pPr>
        <w:pStyle w:val="NoSpacing"/>
        <w:rPr>
          <w:rFonts w:ascii="NTPreCursivef" w:hAnsi="NTPreCursivef" w:cs="Arial"/>
          <w:sz w:val="24"/>
          <w:szCs w:val="32"/>
        </w:rPr>
      </w:pPr>
      <w:r w:rsidRPr="001F3994">
        <w:rPr>
          <w:rFonts w:ascii="NTPreCursivef" w:hAnsi="NTPreCursivef" w:cs="Arial"/>
          <w:noProof/>
          <w:sz w:val="24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3C0F99D5" wp14:editId="3D8D5E6A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994">
        <w:rPr>
          <w:rFonts w:ascii="NTPreCursivef" w:hAnsi="NTPreCursivef" w:cs="Arial"/>
          <w:sz w:val="24"/>
          <w:szCs w:val="32"/>
        </w:rPr>
        <w:t>LONGTON LANE PRIMARY SCHOOL</w:t>
      </w:r>
    </w:p>
    <w:p w14:paraId="73F68F2F" w14:textId="77777777" w:rsidR="00A46D63" w:rsidRPr="001F3994" w:rsidRDefault="00DB5824">
      <w:pPr>
        <w:rPr>
          <w:rFonts w:ascii="NTPreCursivef" w:hAnsi="NTPreCursivef" w:cs="Arial"/>
        </w:rPr>
      </w:pPr>
      <w:r w:rsidRPr="001F3994">
        <w:rPr>
          <w:rFonts w:ascii="NTPreCursivef" w:hAnsi="NTPreCursivef" w:cs="Arial"/>
          <w:sz w:val="20"/>
          <w:szCs w:val="24"/>
        </w:rPr>
        <w:tab/>
      </w:r>
      <w:r w:rsidRPr="001F3994">
        <w:rPr>
          <w:rFonts w:ascii="NTPreCursivef" w:hAnsi="NTPreCursivef" w:cs="Arial"/>
          <w:sz w:val="20"/>
          <w:szCs w:val="24"/>
        </w:rPr>
        <w:tab/>
      </w:r>
      <w:r w:rsidRPr="001F3994">
        <w:rPr>
          <w:rFonts w:ascii="NTPreCursivef" w:hAnsi="NTPreCursivef" w:cs="Arial"/>
          <w:i/>
          <w:sz w:val="20"/>
          <w:szCs w:val="24"/>
        </w:rPr>
        <w:t>A place to learn, a place to achieve, a place to enjoy</w:t>
      </w:r>
      <w:r w:rsidRPr="001F3994">
        <w:rPr>
          <w:rFonts w:ascii="NTPreCursivef" w:hAnsi="NTPreCursivef" w:cs="Arial"/>
          <w:i/>
          <w:szCs w:val="24"/>
        </w:rPr>
        <w:t xml:space="preserve">      </w:t>
      </w:r>
      <w:r w:rsidRPr="001F3994">
        <w:rPr>
          <w:rFonts w:ascii="NTPreCursivef" w:hAnsi="NTPreCursivef" w:cs="Arial"/>
          <w:i/>
          <w:szCs w:val="24"/>
        </w:rPr>
        <w:tab/>
        <w:t xml:space="preserve">                 </w:t>
      </w:r>
    </w:p>
    <w:sectPr w:rsidR="00A46D63" w:rsidRPr="001F3994" w:rsidSect="00DB5824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1C2D" w14:textId="77777777" w:rsidR="003D18EE" w:rsidRDefault="003D18EE" w:rsidP="00DB5824">
      <w:pPr>
        <w:spacing w:after="0" w:line="240" w:lineRule="auto"/>
      </w:pPr>
      <w:r>
        <w:separator/>
      </w:r>
    </w:p>
  </w:endnote>
  <w:endnote w:type="continuationSeparator" w:id="0">
    <w:p w14:paraId="40AACB3A" w14:textId="77777777" w:rsidR="003D18EE" w:rsidRDefault="003D18EE" w:rsidP="00DB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63E6" w14:textId="77777777" w:rsidR="003D18EE" w:rsidRDefault="003D18EE" w:rsidP="00DB5824">
      <w:pPr>
        <w:spacing w:after="0" w:line="240" w:lineRule="auto"/>
      </w:pPr>
      <w:r>
        <w:separator/>
      </w:r>
    </w:p>
  </w:footnote>
  <w:footnote w:type="continuationSeparator" w:id="0">
    <w:p w14:paraId="6C05BBEB" w14:textId="77777777" w:rsidR="003D18EE" w:rsidRDefault="003D18EE" w:rsidP="00DB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059"/>
    <w:multiLevelType w:val="hybridMultilevel"/>
    <w:tmpl w:val="E16EE3FC"/>
    <w:lvl w:ilvl="0" w:tplc="BBDED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8B6"/>
    <w:rsid w:val="000A2A89"/>
    <w:rsid w:val="001F3994"/>
    <w:rsid w:val="00233049"/>
    <w:rsid w:val="00250741"/>
    <w:rsid w:val="002D227C"/>
    <w:rsid w:val="003D18EE"/>
    <w:rsid w:val="003E3B82"/>
    <w:rsid w:val="006A0690"/>
    <w:rsid w:val="0085504D"/>
    <w:rsid w:val="008628B6"/>
    <w:rsid w:val="00867BD3"/>
    <w:rsid w:val="00D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FBA1"/>
  <w15:docId w15:val="{22B2E34E-C60F-4C98-BF01-B2A79B9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824"/>
  </w:style>
  <w:style w:type="paragraph" w:styleId="Footer">
    <w:name w:val="footer"/>
    <w:basedOn w:val="Normal"/>
    <w:link w:val="FooterChar"/>
    <w:uiPriority w:val="99"/>
    <w:unhideWhenUsed/>
    <w:rsid w:val="00DB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824"/>
  </w:style>
  <w:style w:type="paragraph" w:styleId="BalloonText">
    <w:name w:val="Balloon Text"/>
    <w:basedOn w:val="Normal"/>
    <w:link w:val="BalloonTextChar"/>
    <w:uiPriority w:val="99"/>
    <w:semiHidden/>
    <w:unhideWhenUsed/>
    <w:rsid w:val="00D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5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6" ma:contentTypeDescription="Create a new document." ma:contentTypeScope="" ma:versionID="80232189e8759ae43749d0dbf8ae1300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59f379cbedb473b1b730ea7dc83650d1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02282C6B-6C08-4580-8581-FF572B07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3B6D2-29B9-4F36-A132-8800F110C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C2235-BE7D-4170-B89A-F7B22DF942FF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Patino Claire</dc:creator>
  <cp:lastModifiedBy>Linda Speed</cp:lastModifiedBy>
  <cp:revision>6</cp:revision>
  <dcterms:created xsi:type="dcterms:W3CDTF">2019-06-20T12:31:00Z</dcterms:created>
  <dcterms:modified xsi:type="dcterms:W3CDTF">2022-12-09T14:43:00Z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171400</vt:r8>
  </property>
  <property fmtid="{D5CDD505-2E9C-101B-9397-08002B2CF9AE}" pid="4" name="MediaServiceImageTags">
    <vt:lpwstr/>
  </property>
</Properties>
</file>