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5E6" w:rsidRDefault="004005E6" w:rsidP="002D5E68">
      <w:pPr>
        <w:pStyle w:val="Header"/>
        <w:rPr>
          <w:rFonts w:ascii="Arial" w:hAnsi="Arial" w:cs="Arial"/>
          <w:sz w:val="38"/>
          <w:szCs w:val="50"/>
          <w:lang w:val="en"/>
        </w:rPr>
      </w:pPr>
    </w:p>
    <w:p w:rsidR="00D31349" w:rsidRPr="00C076DE" w:rsidRDefault="00D31349" w:rsidP="00D31349">
      <w:pPr>
        <w:pStyle w:val="NoSpacing"/>
        <w:rPr>
          <w:rFonts w:ascii="Arial" w:hAnsi="Arial" w:cs="Arial"/>
          <w:sz w:val="40"/>
          <w:szCs w:val="40"/>
        </w:rPr>
      </w:pPr>
      <w:bookmarkStart w:id="0" w:name="_Hlk41561993"/>
      <w:r w:rsidRPr="00C076DE">
        <w:rPr>
          <w:noProof/>
          <w:sz w:val="40"/>
          <w:szCs w:val="40"/>
        </w:rPr>
        <w:drawing>
          <wp:anchor distT="0" distB="0" distL="114300" distR="114300" simplePos="0" relativeHeight="251659264"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DE">
        <w:rPr>
          <w:rFonts w:ascii="Arial" w:hAnsi="Arial" w:cs="Arial"/>
          <w:sz w:val="40"/>
          <w:szCs w:val="40"/>
        </w:rPr>
        <w:t>LONGTON LANE PRIMARY SCHOOL</w:t>
      </w:r>
    </w:p>
    <w:p w:rsidR="00D31349" w:rsidRDefault="00D31349" w:rsidP="00D31349">
      <w:pPr>
        <w:rPr>
          <w:rFonts w:ascii="Bradley Hand ITC" w:hAnsi="Bradley Hand ITC" w:cs="Arial"/>
          <w:b/>
          <w:i/>
          <w:color w:val="FF0000"/>
          <w:sz w:val="28"/>
          <w:szCs w:val="28"/>
        </w:rPr>
      </w:pPr>
      <w:r>
        <w:rPr>
          <w:rFonts w:ascii="Arial" w:hAnsi="Arial" w:cs="Arial"/>
        </w:rPr>
        <w:tab/>
      </w:r>
      <w:r>
        <w:rPr>
          <w:rFonts w:ascii="Arial" w:hAnsi="Arial" w:cs="Arial"/>
        </w:rPr>
        <w:tab/>
        <w:t xml:space="preserve">                                      </w:t>
      </w:r>
      <w:r>
        <w:rPr>
          <w:rFonts w:ascii="Bradley Hand ITC" w:hAnsi="Bradley Hand ITC" w:cs="Arial"/>
          <w:b/>
          <w:i/>
          <w:color w:val="FF0000"/>
          <w:sz w:val="28"/>
          <w:szCs w:val="28"/>
        </w:rPr>
        <w:t>‘Believe and Achieve’</w:t>
      </w:r>
    </w:p>
    <w:p w:rsidR="002D5E68" w:rsidRDefault="00543001" w:rsidP="002D5E68">
      <w:pPr>
        <w:ind w:right="-46"/>
        <w:rPr>
          <w:rFonts w:ascii="Arial" w:hAnsi="Arial" w:cs="Arial"/>
          <w:sz w:val="24"/>
          <w:szCs w:val="24"/>
        </w:rPr>
      </w:pPr>
      <w:bookmarkStart w:id="1" w:name="_GoBack"/>
      <w:bookmarkEnd w:id="0"/>
      <w:bookmarkEnd w:id="1"/>
      <w:r>
        <w:rPr>
          <w:rFonts w:ascii="Arial" w:hAnsi="Arial" w:cs="Arial"/>
          <w:b/>
          <w:sz w:val="36"/>
          <w:szCs w:val="36"/>
        </w:rPr>
        <w:t>HISTORY</w:t>
      </w:r>
    </w:p>
    <w:p w:rsidR="00543001" w:rsidRPr="00D574EA" w:rsidRDefault="00543001" w:rsidP="00543001">
      <w:pPr>
        <w:pStyle w:val="Heading2"/>
      </w:pPr>
      <w:r w:rsidRPr="0038732A">
        <w:t>Purpose of study</w:t>
      </w:r>
    </w:p>
    <w:p w:rsidR="00543001" w:rsidRDefault="00543001" w:rsidP="00543001">
      <w:bookmarkStart w:id="2" w:name="_Toc346794868"/>
      <w:r w:rsidRPr="002776F9">
        <w:t>A high-quality history education will help pupils gain a coherent knowledge and understanding of Britain</w:t>
      </w:r>
      <w:r>
        <w:t>’</w:t>
      </w:r>
      <w:r w:rsidRPr="002776F9">
        <w:t>s pas</w:t>
      </w:r>
      <w:r>
        <w:t xml:space="preserve">t and that of the wider world. </w:t>
      </w:r>
      <w:r w:rsidRPr="004B011B">
        <w:t>It should inspire pupils</w:t>
      </w:r>
      <w:r>
        <w:t>’</w:t>
      </w:r>
      <w:r w:rsidRPr="004B011B">
        <w:t xml:space="preserve"> curiosity to know mo</w:t>
      </w:r>
      <w:r>
        <w:t>re about the past.</w:t>
      </w:r>
      <w:r w:rsidRPr="002776F9">
        <w:t xml:space="preserve"> Teaching should equip pupils to ask perceptive questions, think critically, weigh evidence, sift arguments, and deve</w:t>
      </w:r>
      <w:r>
        <w:t xml:space="preserve">lop perspective and judgement. </w:t>
      </w:r>
      <w:r w:rsidRPr="002776F9">
        <w:t>History helps pupils to understand the complexity of people</w:t>
      </w:r>
      <w:r>
        <w:t>’</w:t>
      </w:r>
      <w:r w:rsidRPr="002776F9">
        <w:t>s lives, the process of change, the diversity of societie</w:t>
      </w:r>
      <w:r>
        <w:t>s and</w:t>
      </w:r>
      <w:r w:rsidRPr="002776F9">
        <w:t xml:space="preserve"> relationships between different groups, as well as their own identity and the challenges of their time.</w:t>
      </w:r>
    </w:p>
    <w:p w:rsidR="00543001" w:rsidRPr="00D574EA" w:rsidRDefault="00543001" w:rsidP="00543001">
      <w:pPr>
        <w:pStyle w:val="Heading2"/>
      </w:pPr>
      <w:bookmarkStart w:id="3" w:name="_Toc359331339"/>
      <w:bookmarkStart w:id="4" w:name="_Toc360533883"/>
      <w:r w:rsidRPr="00D574EA">
        <w:t>Aims</w:t>
      </w:r>
      <w:bookmarkEnd w:id="2"/>
      <w:bookmarkEnd w:id="3"/>
      <w:bookmarkEnd w:id="4"/>
    </w:p>
    <w:p w:rsidR="00543001" w:rsidRPr="002776F9" w:rsidRDefault="00543001" w:rsidP="00543001">
      <w:pPr>
        <w:spacing w:after="120"/>
      </w:pPr>
      <w:r w:rsidRPr="002776F9">
        <w:t>The national curriculum for history aims to ensure that all pupils:</w:t>
      </w:r>
    </w:p>
    <w:p w:rsidR="00543001" w:rsidRDefault="00543001" w:rsidP="00543001">
      <w:pPr>
        <w:pStyle w:val="bulletundertext"/>
        <w:spacing w:after="120"/>
      </w:pPr>
      <w:r w:rsidRPr="004B011B">
        <w:t>know and understand the history of these islands as a coherent, chronological narrative, from the earliest times to the present day: how people</w:t>
      </w:r>
      <w:r>
        <w:t>’</w:t>
      </w:r>
      <w:r w:rsidRPr="004B011B">
        <w:t>s lives have shaped this nation and how Britain has influenced and been influenced by the wider world</w:t>
      </w:r>
    </w:p>
    <w:p w:rsidR="00543001" w:rsidRPr="002776F9" w:rsidRDefault="00543001" w:rsidP="00543001">
      <w:pPr>
        <w:pStyle w:val="bulletundertext"/>
        <w:spacing w:after="120"/>
      </w:pPr>
      <w:r w:rsidRPr="002776F9">
        <w:t>know and understand significant aspects of the history of the wider world: the nature of ancient civilisations; the expansion and dissolution of empires; characteristic features of past non-European societies; achievements and follies of mankind</w:t>
      </w:r>
    </w:p>
    <w:p w:rsidR="00543001" w:rsidRPr="002776F9" w:rsidRDefault="00543001" w:rsidP="00543001">
      <w:pPr>
        <w:pStyle w:val="bulletundertext"/>
        <w:spacing w:after="120"/>
      </w:pPr>
      <w:r w:rsidRPr="002776F9">
        <w:t>gain and deploy a historically</w:t>
      </w:r>
      <w:r>
        <w:t xml:space="preserve"> </w:t>
      </w:r>
      <w:r w:rsidRPr="002776F9">
        <w:t xml:space="preserve">grounded understanding of abstract terms such as </w:t>
      </w:r>
      <w:r>
        <w:t>‘</w:t>
      </w:r>
      <w:r w:rsidRPr="002776F9">
        <w:t>empire</w:t>
      </w:r>
      <w:r>
        <w:t>’</w:t>
      </w:r>
      <w:r w:rsidRPr="002776F9">
        <w:t xml:space="preserve">, </w:t>
      </w:r>
      <w:r>
        <w:t>‘</w:t>
      </w:r>
      <w:r w:rsidRPr="002776F9">
        <w:t>civilisation</w:t>
      </w:r>
      <w:r>
        <w:t>’</w:t>
      </w:r>
      <w:r w:rsidRPr="002776F9">
        <w:t xml:space="preserve">, </w:t>
      </w:r>
      <w:r>
        <w:t>‘</w:t>
      </w:r>
      <w:r w:rsidRPr="002776F9">
        <w:t>parliament</w:t>
      </w:r>
      <w:r>
        <w:t>’</w:t>
      </w:r>
      <w:r w:rsidRPr="002776F9">
        <w:t xml:space="preserve"> and </w:t>
      </w:r>
      <w:r>
        <w:t>‘</w:t>
      </w:r>
      <w:r w:rsidRPr="002776F9">
        <w:t>peasantry</w:t>
      </w:r>
      <w:r>
        <w:t>’</w:t>
      </w:r>
    </w:p>
    <w:p w:rsidR="00543001" w:rsidRPr="002776F9" w:rsidRDefault="00543001" w:rsidP="00543001">
      <w:pPr>
        <w:pStyle w:val="bulletundertext"/>
        <w:spacing w:after="120"/>
      </w:pPr>
      <w:r w:rsidRPr="002776F9">
        <w:t>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rsidR="00543001" w:rsidRPr="002776F9" w:rsidRDefault="00543001" w:rsidP="00543001">
      <w:pPr>
        <w:pStyle w:val="bulletundertext"/>
        <w:spacing w:after="120"/>
      </w:pPr>
      <w:r w:rsidRPr="002776F9">
        <w:t>understand the methods of historical enquiry, including how evidence is used rigorously to make historical claims, and discern how and why contrasting arguments and interpretations of the past have been constructed</w:t>
      </w:r>
    </w:p>
    <w:p w:rsidR="00543001" w:rsidRPr="002776F9" w:rsidRDefault="00543001" w:rsidP="00543001">
      <w:pPr>
        <w:pStyle w:val="bulletundertext"/>
      </w:pPr>
      <w:r w:rsidRPr="002776F9">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rsidR="00543001" w:rsidRPr="0038732A" w:rsidRDefault="00543001" w:rsidP="00543001">
      <w:pPr>
        <w:pStyle w:val="Heading2"/>
      </w:pPr>
      <w:bookmarkStart w:id="5" w:name="_Toc346794869"/>
      <w:bookmarkStart w:id="6" w:name="_Toc359331340"/>
      <w:bookmarkStart w:id="7" w:name="_Toc360533884"/>
      <w:r w:rsidRPr="0038732A">
        <w:t>Attainment targets</w:t>
      </w:r>
      <w:bookmarkEnd w:id="5"/>
      <w:bookmarkEnd w:id="6"/>
      <w:bookmarkEnd w:id="7"/>
    </w:p>
    <w:p w:rsidR="00543001" w:rsidRDefault="00543001" w:rsidP="00543001">
      <w:r w:rsidRPr="002776F9">
        <w:t>By the end of each key stage, pupils are expected to know, apply and understand the matters, skills and processes specified in the relevant programme of study.</w:t>
      </w:r>
    </w:p>
    <w:p w:rsidR="00543001" w:rsidRPr="00712DE1" w:rsidRDefault="00543001" w:rsidP="00543001">
      <w:pPr>
        <w:rPr>
          <w:b/>
        </w:rPr>
      </w:pPr>
      <w:r w:rsidRPr="00712DE1">
        <w:rPr>
          <w:b/>
        </w:rPr>
        <w:t>Schools are not required by law to teach the example content in [square brackets]</w:t>
      </w:r>
      <w:r>
        <w:rPr>
          <w:b/>
        </w:rPr>
        <w:t xml:space="preserve"> </w:t>
      </w:r>
      <w:r w:rsidRPr="00712DE1">
        <w:rPr>
          <w:b/>
        </w:rPr>
        <w:t>or the content indicated as being ‘non-statutory’.</w:t>
      </w:r>
    </w:p>
    <w:p w:rsidR="00543001" w:rsidRPr="0038732A" w:rsidRDefault="00543001" w:rsidP="00543001">
      <w:pPr>
        <w:pStyle w:val="Heading2"/>
      </w:pPr>
      <w:bookmarkStart w:id="8" w:name="_Toc359331341"/>
      <w:bookmarkStart w:id="9" w:name="_Toc360533885"/>
      <w:r w:rsidRPr="0038732A">
        <w:lastRenderedPageBreak/>
        <w:t>Subject content</w:t>
      </w:r>
      <w:bookmarkEnd w:id="8"/>
      <w:bookmarkEnd w:id="9"/>
    </w:p>
    <w:p w:rsidR="00543001" w:rsidRPr="0038732A" w:rsidRDefault="00543001" w:rsidP="00543001">
      <w:pPr>
        <w:pStyle w:val="Heading3"/>
      </w:pPr>
      <w:bookmarkStart w:id="10" w:name="_Toc346794871"/>
      <w:bookmarkStart w:id="11" w:name="_Toc359331342"/>
      <w:bookmarkStart w:id="12" w:name="_Toc360533886"/>
      <w:r w:rsidRPr="0038732A">
        <w:t xml:space="preserve">Key </w:t>
      </w:r>
      <w:r>
        <w:t>s</w:t>
      </w:r>
      <w:r w:rsidRPr="0038732A">
        <w:t>tage 1</w:t>
      </w:r>
      <w:bookmarkEnd w:id="10"/>
      <w:bookmarkEnd w:id="11"/>
      <w:bookmarkEnd w:id="12"/>
    </w:p>
    <w:p w:rsidR="00543001" w:rsidRDefault="00543001" w:rsidP="00543001">
      <w:r w:rsidRPr="002776F9">
        <w:t>Pupils should develop an awareness of the past, using common words and phrases r</w:t>
      </w:r>
      <w:r>
        <w:t>elating to the passing of time.</w:t>
      </w:r>
      <w:r w:rsidRPr="002776F9">
        <w:t xml:space="preserve"> They should know where the people and events they study fit within a chronological framework and identify similarities and differences between ways of life in different periods. They should use a wide vocabulary</w:t>
      </w:r>
      <w:r>
        <w:t xml:space="preserve"> of everyday historical terms. </w:t>
      </w:r>
      <w:r w:rsidRPr="002776F9">
        <w:t xml:space="preserve">They should ask and answer questions, choosing and using parts of stories and other sources to show that they know and understand key </w:t>
      </w:r>
      <w:r>
        <w:t xml:space="preserve">features of events. </w:t>
      </w:r>
      <w:r w:rsidRPr="002776F9">
        <w:t>They should understand some of the ways in which we find out about the past and identify different ways in which it is represented.</w:t>
      </w:r>
    </w:p>
    <w:p w:rsidR="00543001" w:rsidRDefault="00543001" w:rsidP="00543001">
      <w:r>
        <w:t>In planning to ensure the progression described above through teaching about the people, events and changes outlined below, teachers are often introducing pupils to historical periods that they will study more fully at key stages 2 and 3.</w:t>
      </w:r>
    </w:p>
    <w:p w:rsidR="00543001" w:rsidRPr="008C45ED" w:rsidRDefault="00543001" w:rsidP="00543001">
      <w:pPr>
        <w:spacing w:after="120"/>
        <w:rPr>
          <w:bCs/>
        </w:rPr>
      </w:pPr>
      <w:r w:rsidRPr="002776F9">
        <w:t>Pupils should be taught about</w:t>
      </w:r>
      <w:r w:rsidRPr="0056354B">
        <w:rPr>
          <w:bCs/>
        </w:rPr>
        <w:t>:</w:t>
      </w:r>
    </w:p>
    <w:p w:rsidR="00543001" w:rsidRDefault="00543001" w:rsidP="00543001">
      <w:pPr>
        <w:pStyle w:val="bulletundertext"/>
        <w:spacing w:after="120"/>
      </w:pPr>
      <w:r>
        <w:t xml:space="preserve">changes within living memory. </w:t>
      </w:r>
      <w:r w:rsidRPr="002776F9">
        <w:t>Where appropriate</w:t>
      </w:r>
      <w:r>
        <w:t>,</w:t>
      </w:r>
      <w:r w:rsidRPr="002776F9">
        <w:t xml:space="preserve"> these should be used to reveal aspects of change in national life</w:t>
      </w:r>
      <w:r w:rsidR="00396608">
        <w:t xml:space="preserve"> </w:t>
      </w:r>
      <w:r w:rsidR="00396608" w:rsidRPr="00396608">
        <w:rPr>
          <w:b/>
          <w:color w:val="FF0000"/>
        </w:rPr>
        <w:t>1</w:t>
      </w:r>
    </w:p>
    <w:p w:rsidR="00543001" w:rsidRPr="00E8087E" w:rsidRDefault="00543001" w:rsidP="00543001">
      <w:pPr>
        <w:pStyle w:val="bulletundertext"/>
        <w:spacing w:after="120"/>
      </w:pPr>
      <w:r w:rsidRPr="002776F9">
        <w:t xml:space="preserve">events beyond living </w:t>
      </w:r>
      <w:r w:rsidRPr="00E8087E">
        <w:t>memory that are sign</w:t>
      </w:r>
      <w:r>
        <w:t>ificant nationally or globally [</w:t>
      </w:r>
      <w:r w:rsidRPr="00E8087E">
        <w:t>for example, the Great Fire of London, the first aeroplane flight or events commemorated thr</w:t>
      </w:r>
      <w:r>
        <w:t>ough festivals or anniversaries]</w:t>
      </w:r>
      <w:r w:rsidR="00396608">
        <w:t xml:space="preserve"> </w:t>
      </w:r>
      <w:r w:rsidR="00396608" w:rsidRPr="00396608">
        <w:rPr>
          <w:b/>
          <w:color w:val="FF0000"/>
        </w:rPr>
        <w:t>2</w:t>
      </w:r>
    </w:p>
    <w:p w:rsidR="00543001" w:rsidRPr="00E8087E" w:rsidRDefault="00543001" w:rsidP="00543001">
      <w:pPr>
        <w:pStyle w:val="bulletundertext"/>
        <w:spacing w:after="120"/>
      </w:pPr>
      <w:r w:rsidRPr="002776F9">
        <w:t xml:space="preserve">the lives of significant individuals in the past who have contributed to national and international achievements. Some should be used to compare aspects of life in </w:t>
      </w:r>
      <w:r>
        <w:t>different periods [</w:t>
      </w:r>
      <w:r w:rsidRPr="00E8087E">
        <w:t>for example, Elizabeth I and Queen Victoria, Christopher Columbus and Neil Armstrong, William Caxton and Tim Berners-Lee, Pieter Bruegel the Elder and LS Lowry, Rosa Parks and Emily Davison</w:t>
      </w:r>
      <w:r>
        <w:t>, Mary Seacole and/or Florence Nightingale and Edith Cavell]</w:t>
      </w:r>
      <w:r w:rsidR="00396608">
        <w:t xml:space="preserve"> </w:t>
      </w:r>
      <w:r w:rsidR="00396608" w:rsidRPr="00396608">
        <w:rPr>
          <w:b/>
          <w:color w:val="FF0000"/>
        </w:rPr>
        <w:t>3</w:t>
      </w:r>
    </w:p>
    <w:p w:rsidR="00543001" w:rsidRDefault="00543001" w:rsidP="00543001">
      <w:pPr>
        <w:pStyle w:val="bulletundertext"/>
      </w:pPr>
      <w:r w:rsidRPr="002776F9">
        <w:t>significant historical events, people and places in their own locality.</w:t>
      </w:r>
      <w:r w:rsidR="00396608">
        <w:t xml:space="preserve"> </w:t>
      </w:r>
      <w:r w:rsidR="00396608" w:rsidRPr="00396608">
        <w:rPr>
          <w:b/>
          <w:color w:val="FF0000"/>
        </w:rPr>
        <w:t>4</w:t>
      </w:r>
    </w:p>
    <w:p w:rsidR="004005E6" w:rsidRDefault="004005E6" w:rsidP="00543001">
      <w:pPr>
        <w:pStyle w:val="Heading3"/>
      </w:pPr>
      <w:bookmarkStart w:id="13" w:name="_Toc346794872"/>
      <w:bookmarkStart w:id="14" w:name="_Toc359331343"/>
      <w:bookmarkStart w:id="15" w:name="_Toc360533887"/>
    </w:p>
    <w:p w:rsidR="004005E6" w:rsidRDefault="004005E6" w:rsidP="00543001">
      <w:pPr>
        <w:pStyle w:val="Heading3"/>
      </w:pPr>
    </w:p>
    <w:p w:rsidR="004005E6" w:rsidRDefault="004005E6" w:rsidP="004005E6"/>
    <w:p w:rsidR="004005E6" w:rsidRDefault="004005E6" w:rsidP="004005E6"/>
    <w:p w:rsidR="004005E6" w:rsidRDefault="004005E6" w:rsidP="004005E6"/>
    <w:p w:rsidR="004005E6" w:rsidRDefault="004005E6" w:rsidP="004005E6"/>
    <w:p w:rsidR="004005E6" w:rsidRDefault="004005E6" w:rsidP="004005E6"/>
    <w:p w:rsidR="004005E6" w:rsidRDefault="004005E6" w:rsidP="004005E6"/>
    <w:p w:rsidR="004005E6" w:rsidRDefault="004005E6" w:rsidP="004005E6"/>
    <w:p w:rsidR="004005E6" w:rsidRDefault="004005E6" w:rsidP="004005E6"/>
    <w:p w:rsidR="004005E6" w:rsidRPr="004005E6" w:rsidRDefault="004005E6" w:rsidP="004005E6"/>
    <w:p w:rsidR="00543001" w:rsidRPr="0038732A" w:rsidRDefault="00543001" w:rsidP="00543001">
      <w:pPr>
        <w:pStyle w:val="Heading3"/>
      </w:pPr>
      <w:r w:rsidRPr="0038732A">
        <w:lastRenderedPageBreak/>
        <w:t xml:space="preserve">Key </w:t>
      </w:r>
      <w:r>
        <w:t>s</w:t>
      </w:r>
      <w:r w:rsidRPr="0038732A">
        <w:t>tage 2</w:t>
      </w:r>
      <w:bookmarkEnd w:id="13"/>
      <w:bookmarkEnd w:id="14"/>
      <w:bookmarkEnd w:id="15"/>
    </w:p>
    <w:p w:rsidR="00543001" w:rsidRPr="002776F9" w:rsidRDefault="00543001" w:rsidP="00543001">
      <w:r w:rsidRPr="002776F9">
        <w:t>Pupils should continue to develop a chronologically secure knowledge and understanding of British, local and world history, establishing clear narratives within and across the periods they study.</w:t>
      </w:r>
      <w:r>
        <w:t xml:space="preserve"> </w:t>
      </w:r>
      <w:r w:rsidRPr="002776F9">
        <w:t>They should note connections, contrasts and trends over time and develop the approp</w:t>
      </w:r>
      <w:r>
        <w:t xml:space="preserve">riate use of historical terms. </w:t>
      </w:r>
      <w:r w:rsidRPr="002776F9">
        <w:t xml:space="preserve">They should </w:t>
      </w:r>
      <w:r>
        <w:t>regularly address and sometimes devise</w:t>
      </w:r>
      <w:r w:rsidRPr="002776F9">
        <w:t xml:space="preserv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p w:rsidR="00543001" w:rsidRPr="002776F9" w:rsidRDefault="00543001" w:rsidP="00543001">
      <w:r>
        <w:t>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p w:rsidR="00543001" w:rsidRDefault="00543001" w:rsidP="00543001">
      <w:pPr>
        <w:spacing w:after="120"/>
      </w:pPr>
      <w:r w:rsidRPr="002776F9">
        <w:t>Pupils should be taught about:</w:t>
      </w:r>
    </w:p>
    <w:p w:rsidR="00543001" w:rsidRDefault="00543001" w:rsidP="00543001">
      <w:pPr>
        <w:pStyle w:val="bulletundertext"/>
        <w:spacing w:after="120"/>
      </w:pPr>
      <w:r w:rsidRPr="00380851">
        <w:t>changes in Britain from the Stone Age to the Iron Age</w:t>
      </w:r>
      <w:r w:rsidR="00396608">
        <w:t xml:space="preserve"> </w:t>
      </w:r>
      <w:r w:rsidR="00396608" w:rsidRPr="00396608">
        <w:rPr>
          <w:b/>
          <w:color w:val="FF0000"/>
        </w:rPr>
        <w:t>5</w:t>
      </w:r>
    </w:p>
    <w:tbl>
      <w:tblPr>
        <w:tblW w:w="9242" w:type="dxa"/>
        <w:tblInd w:w="454"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242"/>
      </w:tblGrid>
      <w:tr w:rsidR="00543001" w:rsidRPr="003B04FF" w:rsidTr="00AA6916">
        <w:trPr>
          <w:tblHeader/>
        </w:trPr>
        <w:tc>
          <w:tcPr>
            <w:tcW w:w="9072" w:type="dxa"/>
            <w:tcBorders>
              <w:top w:val="single" w:sz="4" w:space="0" w:color="104F75"/>
            </w:tcBorders>
          </w:tcPr>
          <w:p w:rsidR="00543001" w:rsidRPr="00712DE1" w:rsidRDefault="00543001" w:rsidP="00AA6916">
            <w:pPr>
              <w:pStyle w:val="Heading4"/>
              <w:spacing w:before="120"/>
            </w:pPr>
            <w:r>
              <w:t>Examples</w:t>
            </w:r>
            <w:r w:rsidRPr="00F10527">
              <w:t xml:space="preserve"> (non-statutory)</w:t>
            </w:r>
          </w:p>
          <w:p w:rsidR="00543001" w:rsidRPr="006B4F99" w:rsidRDefault="00543001" w:rsidP="00AA6916">
            <w:pPr>
              <w:pStyle w:val="Heading5"/>
              <w:spacing w:after="120"/>
              <w:rPr>
                <w:b/>
              </w:rPr>
            </w:pPr>
            <w:r w:rsidRPr="006B4F99">
              <w:rPr>
                <w:b/>
              </w:rPr>
              <w:t>This could include</w:t>
            </w:r>
            <w:r>
              <w:rPr>
                <w:b/>
              </w:rPr>
              <w:t>:</w:t>
            </w:r>
          </w:p>
        </w:tc>
      </w:tr>
      <w:tr w:rsidR="00543001" w:rsidRPr="003B04FF" w:rsidTr="00AA6916">
        <w:tc>
          <w:tcPr>
            <w:tcW w:w="9072" w:type="dxa"/>
            <w:tcBorders>
              <w:bottom w:val="single" w:sz="4" w:space="0" w:color="104F75"/>
            </w:tcBorders>
          </w:tcPr>
          <w:p w:rsidR="00543001" w:rsidRPr="004005E6" w:rsidRDefault="00543001" w:rsidP="00AA6916">
            <w:pPr>
              <w:pStyle w:val="bulletundertext"/>
              <w:spacing w:after="120"/>
              <w:rPr>
                <w:sz w:val="22"/>
                <w:szCs w:val="22"/>
              </w:rPr>
            </w:pPr>
            <w:r w:rsidRPr="004005E6">
              <w:rPr>
                <w:sz w:val="22"/>
                <w:szCs w:val="22"/>
              </w:rPr>
              <w:t xml:space="preserve">late Neolithic hunter-gatherers and early farmers, for example, </w:t>
            </w:r>
            <w:proofErr w:type="spellStart"/>
            <w:r w:rsidRPr="004005E6">
              <w:rPr>
                <w:sz w:val="22"/>
                <w:szCs w:val="22"/>
              </w:rPr>
              <w:t>Skara</w:t>
            </w:r>
            <w:proofErr w:type="spellEnd"/>
            <w:r w:rsidRPr="004005E6">
              <w:rPr>
                <w:sz w:val="22"/>
                <w:szCs w:val="22"/>
              </w:rPr>
              <w:t xml:space="preserve"> Brae</w:t>
            </w:r>
          </w:p>
          <w:p w:rsidR="00543001" w:rsidRPr="004005E6" w:rsidRDefault="00543001" w:rsidP="00AA6916">
            <w:pPr>
              <w:pStyle w:val="bulletundertext"/>
              <w:spacing w:after="120"/>
              <w:rPr>
                <w:sz w:val="22"/>
                <w:szCs w:val="22"/>
              </w:rPr>
            </w:pPr>
            <w:r w:rsidRPr="004005E6">
              <w:rPr>
                <w:sz w:val="22"/>
                <w:szCs w:val="22"/>
              </w:rPr>
              <w:t>Bronze Age religion, technology and travel, for example, Stonehenge</w:t>
            </w:r>
          </w:p>
          <w:p w:rsidR="00543001" w:rsidRPr="007C11DB" w:rsidRDefault="00543001" w:rsidP="00AA6916">
            <w:pPr>
              <w:pStyle w:val="bulletundertext"/>
              <w:spacing w:after="120"/>
            </w:pPr>
            <w:r w:rsidRPr="004005E6">
              <w:rPr>
                <w:sz w:val="22"/>
                <w:szCs w:val="22"/>
              </w:rPr>
              <w:t>Iron Age hill forts: tribal kingdoms, farming, art and culture</w:t>
            </w:r>
          </w:p>
        </w:tc>
      </w:tr>
    </w:tbl>
    <w:p w:rsidR="00543001" w:rsidRPr="00E8087E" w:rsidRDefault="00543001" w:rsidP="00543001">
      <w:pPr>
        <w:spacing w:after="0"/>
      </w:pPr>
    </w:p>
    <w:p w:rsidR="00543001" w:rsidRDefault="00543001" w:rsidP="00543001">
      <w:pPr>
        <w:pStyle w:val="bulletundertext"/>
        <w:spacing w:after="120"/>
      </w:pPr>
      <w:r w:rsidRPr="00380851">
        <w:t>the Roman Empire and its impact on Britain</w:t>
      </w:r>
      <w:r w:rsidR="00396608">
        <w:t xml:space="preserve"> </w:t>
      </w:r>
      <w:r w:rsidR="00396608" w:rsidRPr="00396608">
        <w:rPr>
          <w:b/>
          <w:color w:val="FF0000"/>
        </w:rPr>
        <w:t>6</w:t>
      </w:r>
    </w:p>
    <w:tbl>
      <w:tblPr>
        <w:tblW w:w="9242" w:type="dxa"/>
        <w:tblInd w:w="454"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242"/>
      </w:tblGrid>
      <w:tr w:rsidR="00543001" w:rsidRPr="003B04FF" w:rsidTr="00AA6916">
        <w:trPr>
          <w:tblHeader/>
        </w:trPr>
        <w:tc>
          <w:tcPr>
            <w:tcW w:w="9072" w:type="dxa"/>
            <w:tcBorders>
              <w:top w:val="single" w:sz="4" w:space="0" w:color="104F75"/>
            </w:tcBorders>
          </w:tcPr>
          <w:p w:rsidR="00543001" w:rsidRDefault="00543001" w:rsidP="00AA6916">
            <w:pPr>
              <w:pStyle w:val="Heading4"/>
              <w:spacing w:before="120"/>
            </w:pPr>
            <w:r>
              <w:t>Examples</w:t>
            </w:r>
            <w:r w:rsidRPr="00F10527">
              <w:t xml:space="preserve"> (non-statutory)</w:t>
            </w:r>
          </w:p>
          <w:p w:rsidR="00543001" w:rsidRPr="006B4F99" w:rsidRDefault="00543001" w:rsidP="00AA6916">
            <w:pPr>
              <w:spacing w:before="120" w:after="120"/>
            </w:pPr>
            <w:r>
              <w:t>This could include:</w:t>
            </w:r>
          </w:p>
        </w:tc>
      </w:tr>
      <w:tr w:rsidR="00543001" w:rsidRPr="003B04FF" w:rsidTr="00AA6916">
        <w:tc>
          <w:tcPr>
            <w:tcW w:w="9072" w:type="dxa"/>
            <w:tcBorders>
              <w:bottom w:val="single" w:sz="4" w:space="0" w:color="104F75"/>
            </w:tcBorders>
          </w:tcPr>
          <w:p w:rsidR="00543001" w:rsidRPr="004005E6" w:rsidRDefault="00543001" w:rsidP="00AA6916">
            <w:pPr>
              <w:pStyle w:val="bulletundertext"/>
              <w:spacing w:after="120"/>
              <w:rPr>
                <w:sz w:val="22"/>
                <w:szCs w:val="22"/>
              </w:rPr>
            </w:pPr>
            <w:r w:rsidRPr="004005E6">
              <w:rPr>
                <w:sz w:val="22"/>
                <w:szCs w:val="22"/>
              </w:rPr>
              <w:t>Julius Caesar’s attempted invasion in 55-54 BC</w:t>
            </w:r>
          </w:p>
          <w:p w:rsidR="00543001" w:rsidRPr="004005E6" w:rsidRDefault="00543001" w:rsidP="00AA6916">
            <w:pPr>
              <w:pStyle w:val="bulletundertext"/>
              <w:spacing w:after="120"/>
              <w:rPr>
                <w:sz w:val="22"/>
                <w:szCs w:val="22"/>
              </w:rPr>
            </w:pPr>
            <w:r w:rsidRPr="004005E6">
              <w:rPr>
                <w:sz w:val="22"/>
                <w:szCs w:val="22"/>
              </w:rPr>
              <w:t>the Roman Empire by AD 42 and the power of its army</w:t>
            </w:r>
          </w:p>
          <w:p w:rsidR="00543001" w:rsidRPr="004005E6" w:rsidRDefault="00543001" w:rsidP="00AA6916">
            <w:pPr>
              <w:pStyle w:val="bulletundertext"/>
              <w:spacing w:after="120"/>
              <w:rPr>
                <w:sz w:val="22"/>
                <w:szCs w:val="22"/>
              </w:rPr>
            </w:pPr>
            <w:r w:rsidRPr="004005E6">
              <w:rPr>
                <w:sz w:val="22"/>
                <w:szCs w:val="22"/>
              </w:rPr>
              <w:t>successful invasion by Claudius and conquest, including Hadrian’s Wall</w:t>
            </w:r>
          </w:p>
          <w:p w:rsidR="00543001" w:rsidRPr="004005E6" w:rsidRDefault="00543001" w:rsidP="00AA6916">
            <w:pPr>
              <w:pStyle w:val="bulletundertext"/>
              <w:spacing w:after="120"/>
              <w:rPr>
                <w:sz w:val="22"/>
                <w:szCs w:val="22"/>
              </w:rPr>
            </w:pPr>
            <w:r w:rsidRPr="004005E6">
              <w:rPr>
                <w:sz w:val="22"/>
                <w:szCs w:val="22"/>
              </w:rPr>
              <w:t xml:space="preserve">British resistance, for example, </w:t>
            </w:r>
            <w:proofErr w:type="spellStart"/>
            <w:r w:rsidRPr="004005E6">
              <w:rPr>
                <w:sz w:val="22"/>
                <w:szCs w:val="22"/>
              </w:rPr>
              <w:t>Boudica</w:t>
            </w:r>
            <w:proofErr w:type="spellEnd"/>
          </w:p>
          <w:p w:rsidR="00543001" w:rsidRPr="007C11DB" w:rsidRDefault="00543001" w:rsidP="00AA6916">
            <w:pPr>
              <w:pStyle w:val="bulletundertext"/>
              <w:spacing w:after="120"/>
            </w:pPr>
            <w:r w:rsidRPr="004005E6">
              <w:rPr>
                <w:sz w:val="22"/>
                <w:szCs w:val="22"/>
              </w:rPr>
              <w:t xml:space="preserve">‘Romanisation’ of Britain: sites such as </w:t>
            </w:r>
            <w:proofErr w:type="spellStart"/>
            <w:r w:rsidRPr="004005E6">
              <w:rPr>
                <w:sz w:val="22"/>
                <w:szCs w:val="22"/>
              </w:rPr>
              <w:t>Caerwent</w:t>
            </w:r>
            <w:proofErr w:type="spellEnd"/>
            <w:r w:rsidRPr="004005E6">
              <w:rPr>
                <w:sz w:val="22"/>
                <w:szCs w:val="22"/>
              </w:rPr>
              <w:t xml:space="preserve"> and the impact of technology, culture and beliefs, including early Christianity</w:t>
            </w:r>
          </w:p>
        </w:tc>
      </w:tr>
    </w:tbl>
    <w:p w:rsidR="00543001" w:rsidRPr="00E8087E" w:rsidRDefault="00543001" w:rsidP="00543001">
      <w:pPr>
        <w:spacing w:after="0"/>
      </w:pPr>
    </w:p>
    <w:p w:rsidR="00543001" w:rsidRDefault="00543001" w:rsidP="00543001">
      <w:pPr>
        <w:pStyle w:val="bulletundertext"/>
        <w:spacing w:after="120"/>
      </w:pPr>
      <w:r w:rsidRPr="00380851">
        <w:t>Britain</w:t>
      </w:r>
      <w:r>
        <w:t>’</w:t>
      </w:r>
      <w:r w:rsidRPr="00380851">
        <w:t>s settlement by Anglo-Saxons and Scots</w:t>
      </w:r>
      <w:r w:rsidR="00396608">
        <w:t xml:space="preserve"> </w:t>
      </w:r>
      <w:r w:rsidR="00396608" w:rsidRPr="00396608">
        <w:rPr>
          <w:b/>
          <w:color w:val="FF0000"/>
        </w:rPr>
        <w:t>7</w:t>
      </w:r>
    </w:p>
    <w:tbl>
      <w:tblPr>
        <w:tblW w:w="9242" w:type="dxa"/>
        <w:tblInd w:w="454"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242"/>
      </w:tblGrid>
      <w:tr w:rsidR="00543001" w:rsidRPr="003B04FF" w:rsidTr="00AA6916">
        <w:trPr>
          <w:tblHeader/>
        </w:trPr>
        <w:tc>
          <w:tcPr>
            <w:tcW w:w="9072" w:type="dxa"/>
            <w:tcBorders>
              <w:top w:val="single" w:sz="4" w:space="0" w:color="104F75"/>
            </w:tcBorders>
          </w:tcPr>
          <w:p w:rsidR="00543001" w:rsidRDefault="00543001" w:rsidP="00AA6916">
            <w:pPr>
              <w:pStyle w:val="Heading4"/>
              <w:spacing w:before="120"/>
            </w:pPr>
            <w:r>
              <w:t>Examples</w:t>
            </w:r>
            <w:r w:rsidRPr="00F10527">
              <w:t xml:space="preserve"> (non-statutory)</w:t>
            </w:r>
          </w:p>
          <w:p w:rsidR="00543001" w:rsidRPr="006B4F99" w:rsidRDefault="00543001" w:rsidP="00AA6916">
            <w:pPr>
              <w:spacing w:before="120" w:after="120"/>
            </w:pPr>
            <w:r>
              <w:t>This could include:</w:t>
            </w:r>
          </w:p>
        </w:tc>
      </w:tr>
      <w:tr w:rsidR="00543001" w:rsidRPr="003B04FF" w:rsidTr="00AA6916">
        <w:tc>
          <w:tcPr>
            <w:tcW w:w="9072" w:type="dxa"/>
            <w:tcBorders>
              <w:bottom w:val="single" w:sz="4" w:space="0" w:color="104F75"/>
            </w:tcBorders>
          </w:tcPr>
          <w:p w:rsidR="00543001" w:rsidRPr="004005E6" w:rsidRDefault="00543001" w:rsidP="00AA6916">
            <w:pPr>
              <w:pStyle w:val="bulletundertext"/>
              <w:spacing w:after="120"/>
              <w:rPr>
                <w:sz w:val="22"/>
                <w:szCs w:val="22"/>
              </w:rPr>
            </w:pPr>
            <w:r w:rsidRPr="004005E6">
              <w:rPr>
                <w:sz w:val="22"/>
                <w:szCs w:val="22"/>
              </w:rPr>
              <w:t>Roman withdrawal from Britain in c. AD 410 and the fall of the western Roman Empire</w:t>
            </w:r>
          </w:p>
          <w:p w:rsidR="00543001" w:rsidRPr="004005E6" w:rsidRDefault="00543001" w:rsidP="00AA6916">
            <w:pPr>
              <w:pStyle w:val="bulletundertext"/>
              <w:spacing w:after="120"/>
              <w:rPr>
                <w:sz w:val="22"/>
                <w:szCs w:val="22"/>
              </w:rPr>
            </w:pPr>
            <w:r w:rsidRPr="004005E6">
              <w:rPr>
                <w:sz w:val="22"/>
                <w:szCs w:val="22"/>
              </w:rPr>
              <w:t>Scots invasions from Ireland to north Britain (now Scotland)</w:t>
            </w:r>
          </w:p>
          <w:p w:rsidR="00543001" w:rsidRPr="004005E6" w:rsidRDefault="00543001" w:rsidP="00AA6916">
            <w:pPr>
              <w:pStyle w:val="bulletundertext"/>
              <w:spacing w:after="120"/>
              <w:rPr>
                <w:sz w:val="22"/>
                <w:szCs w:val="22"/>
              </w:rPr>
            </w:pPr>
            <w:r w:rsidRPr="004005E6">
              <w:rPr>
                <w:sz w:val="22"/>
                <w:szCs w:val="22"/>
              </w:rPr>
              <w:t>Anglo-Saxon invasions, settlements and kingdoms: place names and village life</w:t>
            </w:r>
          </w:p>
          <w:p w:rsidR="00543001" w:rsidRPr="004005E6" w:rsidRDefault="00543001" w:rsidP="00AA6916">
            <w:pPr>
              <w:pStyle w:val="bulletundertext"/>
              <w:spacing w:after="120"/>
              <w:rPr>
                <w:sz w:val="22"/>
                <w:szCs w:val="22"/>
              </w:rPr>
            </w:pPr>
            <w:r w:rsidRPr="004005E6">
              <w:rPr>
                <w:sz w:val="22"/>
                <w:szCs w:val="22"/>
              </w:rPr>
              <w:t>Anglo-Saxon art and culture</w:t>
            </w:r>
          </w:p>
          <w:p w:rsidR="00543001" w:rsidRPr="007C11DB" w:rsidRDefault="00543001" w:rsidP="00AA6916">
            <w:pPr>
              <w:pStyle w:val="bulletundertext"/>
              <w:spacing w:after="120"/>
            </w:pPr>
            <w:r w:rsidRPr="004005E6">
              <w:rPr>
                <w:sz w:val="22"/>
                <w:szCs w:val="22"/>
              </w:rPr>
              <w:t>Christian conversion – Canterbury, Iona and Lindisfarne</w:t>
            </w:r>
          </w:p>
        </w:tc>
      </w:tr>
    </w:tbl>
    <w:p w:rsidR="00543001" w:rsidRPr="00E8087E" w:rsidRDefault="00543001" w:rsidP="00543001">
      <w:pPr>
        <w:spacing w:after="0"/>
      </w:pPr>
    </w:p>
    <w:p w:rsidR="00543001" w:rsidRDefault="00543001" w:rsidP="00543001">
      <w:pPr>
        <w:pStyle w:val="bulletundertext"/>
        <w:keepNext/>
        <w:spacing w:after="120"/>
      </w:pPr>
      <w:r w:rsidRPr="00380851">
        <w:lastRenderedPageBreak/>
        <w:t>the Viking and Anglo-Saxon struggle for the Kingdom of England to the time of Edward the Confessor</w:t>
      </w:r>
      <w:r w:rsidR="00396608">
        <w:t xml:space="preserve"> </w:t>
      </w:r>
      <w:r w:rsidR="00396608" w:rsidRPr="00396608">
        <w:rPr>
          <w:b/>
          <w:color w:val="FF0000"/>
        </w:rPr>
        <w:t>8</w:t>
      </w:r>
    </w:p>
    <w:tbl>
      <w:tblPr>
        <w:tblW w:w="9242" w:type="dxa"/>
        <w:tblInd w:w="454"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242"/>
      </w:tblGrid>
      <w:tr w:rsidR="00543001" w:rsidRPr="003B04FF" w:rsidTr="00AA6916">
        <w:trPr>
          <w:tblHeader/>
        </w:trPr>
        <w:tc>
          <w:tcPr>
            <w:tcW w:w="9072" w:type="dxa"/>
            <w:tcBorders>
              <w:top w:val="single" w:sz="4" w:space="0" w:color="104F75"/>
            </w:tcBorders>
          </w:tcPr>
          <w:p w:rsidR="00543001" w:rsidRDefault="00543001" w:rsidP="00AA6916">
            <w:pPr>
              <w:pStyle w:val="Heading4"/>
              <w:spacing w:before="120"/>
            </w:pPr>
            <w:r>
              <w:t>Examples</w:t>
            </w:r>
            <w:r w:rsidRPr="00F10527">
              <w:t xml:space="preserve"> (non-statutory)</w:t>
            </w:r>
          </w:p>
          <w:p w:rsidR="00543001" w:rsidRPr="006B4F99" w:rsidRDefault="00543001" w:rsidP="00AA6916">
            <w:pPr>
              <w:spacing w:before="120" w:after="120"/>
            </w:pPr>
            <w:r>
              <w:t>This could include:</w:t>
            </w:r>
          </w:p>
        </w:tc>
      </w:tr>
      <w:tr w:rsidR="00543001" w:rsidRPr="003B04FF" w:rsidTr="00AA6916">
        <w:trPr>
          <w:cantSplit/>
        </w:trPr>
        <w:tc>
          <w:tcPr>
            <w:tcW w:w="9072" w:type="dxa"/>
            <w:tcBorders>
              <w:bottom w:val="single" w:sz="4" w:space="0" w:color="104F75"/>
            </w:tcBorders>
          </w:tcPr>
          <w:p w:rsidR="00543001" w:rsidRPr="00E8087E" w:rsidRDefault="00543001" w:rsidP="00AA6916">
            <w:pPr>
              <w:pStyle w:val="bulletundertext"/>
              <w:spacing w:after="80"/>
            </w:pPr>
            <w:r w:rsidRPr="00E8087E">
              <w:t>Viking raids and invasion</w:t>
            </w:r>
          </w:p>
          <w:p w:rsidR="00543001" w:rsidRPr="00E8087E" w:rsidRDefault="00543001" w:rsidP="00AA6916">
            <w:pPr>
              <w:pStyle w:val="bulletundertext"/>
              <w:spacing w:after="80"/>
            </w:pPr>
            <w:r w:rsidRPr="00E8087E">
              <w:t>resistance by Alfred the Great and Athelstan, first king of England</w:t>
            </w:r>
          </w:p>
          <w:p w:rsidR="00543001" w:rsidRPr="00E8087E" w:rsidRDefault="00543001" w:rsidP="00AA6916">
            <w:pPr>
              <w:pStyle w:val="bulletundertext"/>
              <w:spacing w:after="80"/>
            </w:pPr>
            <w:r w:rsidRPr="00E8087E">
              <w:t>further Viking invasions and Danegeld</w:t>
            </w:r>
          </w:p>
          <w:p w:rsidR="00543001" w:rsidRPr="00E8087E" w:rsidRDefault="00543001" w:rsidP="00AA6916">
            <w:pPr>
              <w:pStyle w:val="bulletundertext"/>
              <w:spacing w:after="80"/>
            </w:pPr>
            <w:r w:rsidRPr="00E8087E">
              <w:t>Anglo-Saxon laws and justice</w:t>
            </w:r>
          </w:p>
          <w:p w:rsidR="00543001" w:rsidRPr="007C11DB" w:rsidRDefault="00543001" w:rsidP="00AA6916">
            <w:pPr>
              <w:pStyle w:val="bulletundertext"/>
              <w:spacing w:after="60"/>
            </w:pPr>
            <w:r w:rsidRPr="00E8087E">
              <w:t>Edward the Confessor and his death in 1066</w:t>
            </w:r>
          </w:p>
        </w:tc>
      </w:tr>
    </w:tbl>
    <w:p w:rsidR="00543001" w:rsidRPr="00E8087E" w:rsidRDefault="00543001" w:rsidP="00543001">
      <w:pPr>
        <w:spacing w:after="0"/>
      </w:pPr>
    </w:p>
    <w:p w:rsidR="00543001" w:rsidRDefault="00543001" w:rsidP="00543001">
      <w:pPr>
        <w:pStyle w:val="bulletundertext"/>
        <w:spacing w:after="120"/>
      </w:pPr>
      <w:r>
        <w:t>a local history study</w:t>
      </w:r>
      <w:r w:rsidR="00396608">
        <w:t xml:space="preserve"> </w:t>
      </w:r>
      <w:r w:rsidR="00396608" w:rsidRPr="00396608">
        <w:rPr>
          <w:b/>
          <w:color w:val="FF0000"/>
        </w:rPr>
        <w:t>9</w:t>
      </w:r>
    </w:p>
    <w:tbl>
      <w:tblPr>
        <w:tblW w:w="9242" w:type="dxa"/>
        <w:tblInd w:w="454"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242"/>
      </w:tblGrid>
      <w:tr w:rsidR="00543001" w:rsidRPr="003B04FF" w:rsidTr="00AA6916">
        <w:trPr>
          <w:tblHeader/>
        </w:trPr>
        <w:tc>
          <w:tcPr>
            <w:tcW w:w="9072" w:type="dxa"/>
            <w:tcBorders>
              <w:top w:val="single" w:sz="4" w:space="0" w:color="104F75"/>
            </w:tcBorders>
          </w:tcPr>
          <w:p w:rsidR="00543001" w:rsidRPr="006B4F99" w:rsidRDefault="00543001" w:rsidP="00AA6916">
            <w:pPr>
              <w:pStyle w:val="Heading4"/>
              <w:spacing w:before="120"/>
            </w:pPr>
            <w:r>
              <w:t>Examples</w:t>
            </w:r>
            <w:r w:rsidRPr="00F10527">
              <w:t xml:space="preserve"> (non-statutory)</w:t>
            </w:r>
          </w:p>
        </w:tc>
      </w:tr>
      <w:tr w:rsidR="00543001" w:rsidRPr="003B04FF" w:rsidTr="00AA6916">
        <w:tc>
          <w:tcPr>
            <w:tcW w:w="9072" w:type="dxa"/>
            <w:tcBorders>
              <w:bottom w:val="single" w:sz="4" w:space="0" w:color="104F75"/>
            </w:tcBorders>
          </w:tcPr>
          <w:p w:rsidR="00543001" w:rsidRPr="00E8087E" w:rsidRDefault="00543001" w:rsidP="00AA6916">
            <w:pPr>
              <w:pStyle w:val="bulletundertext"/>
              <w:spacing w:after="80"/>
            </w:pPr>
            <w:r w:rsidRPr="00E8087E">
              <w:t>a depth study linked to one of the British areas of study listed above</w:t>
            </w:r>
          </w:p>
          <w:p w:rsidR="00543001" w:rsidRPr="00E8087E" w:rsidRDefault="00543001" w:rsidP="00AA6916">
            <w:pPr>
              <w:pStyle w:val="bulletundertext"/>
              <w:spacing w:after="80"/>
            </w:pPr>
            <w:r w:rsidRPr="00E8087E">
              <w:t xml:space="preserve">a study over time tracing how several aspects </w:t>
            </w:r>
            <w:r>
              <w:t xml:space="preserve">of </w:t>
            </w:r>
            <w:r w:rsidRPr="00E8087E">
              <w:t>national history are reflected in the locality (this can go beyond 1066)</w:t>
            </w:r>
          </w:p>
          <w:p w:rsidR="00543001" w:rsidRPr="007C11DB" w:rsidRDefault="00543001" w:rsidP="00AA6916">
            <w:pPr>
              <w:pStyle w:val="bulletundertext"/>
              <w:spacing w:after="60"/>
            </w:pPr>
            <w:r w:rsidRPr="00E8087E">
              <w:t>a study of an aspect of history or a site dating from a period beyond 1066 that is significant in the locality.</w:t>
            </w:r>
          </w:p>
        </w:tc>
      </w:tr>
    </w:tbl>
    <w:p w:rsidR="00543001" w:rsidRPr="00E8087E" w:rsidRDefault="00543001" w:rsidP="00543001">
      <w:pPr>
        <w:spacing w:after="0"/>
      </w:pPr>
    </w:p>
    <w:p w:rsidR="00543001" w:rsidRDefault="00543001" w:rsidP="00543001">
      <w:pPr>
        <w:pStyle w:val="bulletundertext"/>
        <w:spacing w:after="120"/>
      </w:pPr>
      <w:r w:rsidRPr="00380851">
        <w:t>a study of an aspect or theme in British history that extends pupils</w:t>
      </w:r>
      <w:r>
        <w:t>’</w:t>
      </w:r>
      <w:r w:rsidRPr="00380851">
        <w:t xml:space="preserve"> chronological knowledge beyond 1066</w:t>
      </w:r>
      <w:r w:rsidR="00396608">
        <w:t xml:space="preserve"> </w:t>
      </w:r>
      <w:r w:rsidR="00396608" w:rsidRPr="00396608">
        <w:rPr>
          <w:b/>
          <w:color w:val="FF0000"/>
        </w:rPr>
        <w:t>10</w:t>
      </w:r>
    </w:p>
    <w:tbl>
      <w:tblPr>
        <w:tblW w:w="9242" w:type="dxa"/>
        <w:tblInd w:w="454"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242"/>
      </w:tblGrid>
      <w:tr w:rsidR="00543001" w:rsidRPr="003B04FF" w:rsidTr="00AA6916">
        <w:trPr>
          <w:tblHeader/>
        </w:trPr>
        <w:tc>
          <w:tcPr>
            <w:tcW w:w="9072" w:type="dxa"/>
            <w:tcBorders>
              <w:top w:val="single" w:sz="4" w:space="0" w:color="104F75"/>
            </w:tcBorders>
          </w:tcPr>
          <w:p w:rsidR="00543001" w:rsidRPr="006B4F99" w:rsidRDefault="00543001" w:rsidP="00AA6916">
            <w:pPr>
              <w:pStyle w:val="Heading4"/>
              <w:spacing w:before="120"/>
            </w:pPr>
            <w:r>
              <w:t>Examples</w:t>
            </w:r>
            <w:r w:rsidRPr="00F10527">
              <w:t xml:space="preserve"> (non-statutory)</w:t>
            </w:r>
          </w:p>
        </w:tc>
      </w:tr>
      <w:tr w:rsidR="00543001" w:rsidRPr="003B04FF" w:rsidTr="00AA6916">
        <w:tc>
          <w:tcPr>
            <w:tcW w:w="9072" w:type="dxa"/>
            <w:tcBorders>
              <w:bottom w:val="single" w:sz="4" w:space="0" w:color="104F75"/>
            </w:tcBorders>
          </w:tcPr>
          <w:p w:rsidR="00543001" w:rsidRPr="00E8087E" w:rsidRDefault="00543001" w:rsidP="00AA6916">
            <w:pPr>
              <w:pStyle w:val="bulletundertext"/>
              <w:spacing w:after="80"/>
            </w:pPr>
            <w:r w:rsidRPr="00E8087E">
              <w:t>the changing power of monarchs using case studies such as John, Anne and Victoria</w:t>
            </w:r>
          </w:p>
          <w:p w:rsidR="00543001" w:rsidRPr="00E8087E" w:rsidRDefault="00543001" w:rsidP="00AA6916">
            <w:pPr>
              <w:pStyle w:val="bulletundertext"/>
              <w:spacing w:after="80"/>
            </w:pPr>
            <w:r w:rsidRPr="00E8087E">
              <w:t>changes in an aspect of social history, such as crime and punishment from the Anglo-Saxons to the present or leisure and entertainment in the 20</w:t>
            </w:r>
            <w:r w:rsidRPr="00E8087E">
              <w:rPr>
                <w:vertAlign w:val="superscript"/>
              </w:rPr>
              <w:t>th</w:t>
            </w:r>
            <w:r w:rsidRPr="00E8087E">
              <w:t xml:space="preserve"> Century</w:t>
            </w:r>
          </w:p>
          <w:p w:rsidR="00543001" w:rsidRPr="00E8087E" w:rsidRDefault="00543001" w:rsidP="00AA6916">
            <w:pPr>
              <w:pStyle w:val="bulletundertext"/>
              <w:spacing w:after="80"/>
            </w:pPr>
            <w:r w:rsidRPr="00E8087E">
              <w:t>the legacy of Greek or Roman culture (art, architecture or literature) on later periods in British history, including the present day</w:t>
            </w:r>
          </w:p>
          <w:p w:rsidR="00543001" w:rsidRPr="007C11DB" w:rsidRDefault="00543001" w:rsidP="00AA6916">
            <w:pPr>
              <w:pStyle w:val="bulletundertext"/>
              <w:spacing w:after="60"/>
            </w:pPr>
            <w:r w:rsidRPr="00E8087E">
              <w:t>a significant turning point in British history, for example, the first railways or the Battle of Britain</w:t>
            </w:r>
          </w:p>
        </w:tc>
      </w:tr>
    </w:tbl>
    <w:p w:rsidR="00543001" w:rsidRPr="00E8087E" w:rsidRDefault="00543001" w:rsidP="00543001">
      <w:pPr>
        <w:spacing w:after="0"/>
      </w:pPr>
    </w:p>
    <w:p w:rsidR="00543001" w:rsidRPr="00F9756B" w:rsidRDefault="00543001" w:rsidP="00543001">
      <w:pPr>
        <w:pStyle w:val="bulletundertext"/>
      </w:pPr>
      <w:r w:rsidRPr="00380851">
        <w:t>the achievements of the earliest civilizations</w:t>
      </w:r>
      <w:r w:rsidRPr="00751855">
        <w:t xml:space="preserve"> </w:t>
      </w:r>
      <w:r w:rsidRPr="0056354B">
        <w:t>–</w:t>
      </w:r>
      <w:r w:rsidRPr="000D5BC9">
        <w:t xml:space="preserve"> an overview of where and when the first civilizations appeared and a depth study of </w:t>
      </w:r>
      <w:r w:rsidRPr="002776F9">
        <w:t xml:space="preserve">one of the following: </w:t>
      </w:r>
      <w:r w:rsidRPr="00F9756B">
        <w:t xml:space="preserve">Ancient Sumer; The Indus Valley; </w:t>
      </w:r>
      <w:r w:rsidRPr="00396608">
        <w:rPr>
          <w:color w:val="FF0000"/>
          <w:u w:val="single"/>
        </w:rPr>
        <w:t>Ancient Egypt</w:t>
      </w:r>
      <w:r w:rsidRPr="00F9756B">
        <w:t>; The Shang Dynasty of Ancient China</w:t>
      </w:r>
      <w:r w:rsidR="00396608">
        <w:t xml:space="preserve"> </w:t>
      </w:r>
      <w:r w:rsidR="00396608" w:rsidRPr="00396608">
        <w:rPr>
          <w:b/>
          <w:color w:val="FF0000"/>
        </w:rPr>
        <w:t>11</w:t>
      </w:r>
    </w:p>
    <w:p w:rsidR="00543001" w:rsidRDefault="00543001" w:rsidP="00543001">
      <w:pPr>
        <w:pStyle w:val="bulletundertext"/>
      </w:pPr>
      <w:r w:rsidRPr="00380851">
        <w:t>Ancient Greece</w:t>
      </w:r>
      <w:r w:rsidRPr="000D5BC9">
        <w:t xml:space="preserve"> – a study of Greek life and achievements and their influence</w:t>
      </w:r>
      <w:r>
        <w:t xml:space="preserve"> </w:t>
      </w:r>
      <w:r w:rsidRPr="000D5BC9">
        <w:t>on the western world</w:t>
      </w:r>
      <w:r w:rsidR="00396608">
        <w:t xml:space="preserve"> </w:t>
      </w:r>
      <w:r w:rsidR="00396608" w:rsidRPr="00396608">
        <w:rPr>
          <w:b/>
          <w:color w:val="FF0000"/>
        </w:rPr>
        <w:t>12</w:t>
      </w:r>
    </w:p>
    <w:p w:rsidR="00867AD7" w:rsidRPr="00543001" w:rsidRDefault="00543001" w:rsidP="00867AD7">
      <w:pPr>
        <w:pStyle w:val="bulletundertext"/>
        <w:keepNext/>
        <w:spacing w:before="240" w:after="120" w:line="240" w:lineRule="auto"/>
        <w:ind w:right="-46"/>
        <w:outlineLvl w:val="1"/>
      </w:pPr>
      <w:r w:rsidRPr="00380851">
        <w:t>a non-European society that provides contrasts with British history</w:t>
      </w:r>
      <w:r>
        <w:t xml:space="preserve"> </w:t>
      </w:r>
      <w:r w:rsidRPr="000D5BC9">
        <w:t>–</w:t>
      </w:r>
      <w:r>
        <w:t xml:space="preserve"> o</w:t>
      </w:r>
      <w:r w:rsidRPr="00380851">
        <w:t>ne study chosen from</w:t>
      </w:r>
      <w:r>
        <w:t xml:space="preserve">: </w:t>
      </w:r>
      <w:r w:rsidRPr="00F9756B">
        <w:t>early Islamic civilization, including a study of Baghdad c. AD 900; Mayan civilization c. AD 900; Benin (West Africa) c. AD 900-1300.</w:t>
      </w:r>
      <w:r w:rsidR="00396608">
        <w:t xml:space="preserve"> </w:t>
      </w:r>
      <w:r w:rsidR="00396608" w:rsidRPr="00396608">
        <w:rPr>
          <w:b/>
          <w:color w:val="FF0000"/>
        </w:rPr>
        <w:t>13</w:t>
      </w:r>
    </w:p>
    <w:sectPr w:rsidR="00867AD7" w:rsidRPr="00543001" w:rsidSect="004005E6">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38"/>
    <w:rsid w:val="00210BCF"/>
    <w:rsid w:val="002D5E68"/>
    <w:rsid w:val="00315313"/>
    <w:rsid w:val="00396608"/>
    <w:rsid w:val="003D6E81"/>
    <w:rsid w:val="004005E6"/>
    <w:rsid w:val="00442D94"/>
    <w:rsid w:val="00543001"/>
    <w:rsid w:val="00867AD7"/>
    <w:rsid w:val="009B1821"/>
    <w:rsid w:val="00BB5B3C"/>
    <w:rsid w:val="00BC1838"/>
    <w:rsid w:val="00D31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043E7"/>
  <w15:docId w15:val="{DAA7D2BF-1DB9-4C57-8893-83A01A0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68"/>
  </w:style>
  <w:style w:type="paragraph" w:styleId="Heading2">
    <w:name w:val="heading 2"/>
    <w:basedOn w:val="Normal"/>
    <w:next w:val="Normal"/>
    <w:link w:val="Heading2Char"/>
    <w:qFormat/>
    <w:rsid w:val="003D6E81"/>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3D6E81"/>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210B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30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E6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D5E6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6E81"/>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3D6E81"/>
    <w:rPr>
      <w:rFonts w:ascii="Arial" w:eastAsia="Times New Roman" w:hAnsi="Arial" w:cs="Times New Roman"/>
      <w:b/>
      <w:bCs/>
      <w:color w:val="104F75"/>
      <w:sz w:val="28"/>
      <w:szCs w:val="28"/>
    </w:rPr>
  </w:style>
  <w:style w:type="paragraph" w:customStyle="1" w:styleId="bulletundertext">
    <w:name w:val="bullet (under text)"/>
    <w:rsid w:val="003D6E81"/>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semiHidden/>
    <w:rsid w:val="00210BCF"/>
    <w:rPr>
      <w:rFonts w:asciiTheme="majorHAnsi" w:eastAsiaTheme="majorEastAsia" w:hAnsiTheme="majorHAnsi" w:cstheme="majorBidi"/>
      <w:b/>
      <w:bCs/>
      <w:i/>
      <w:iCs/>
      <w:color w:val="4F81BD" w:themeColor="accent1"/>
    </w:rPr>
  </w:style>
  <w:style w:type="paragraph" w:styleId="TOC2">
    <w:name w:val="toc 2"/>
    <w:basedOn w:val="TOC1"/>
    <w:next w:val="Normal"/>
    <w:rsid w:val="009B1821"/>
    <w:pPr>
      <w:tabs>
        <w:tab w:val="left" w:pos="284"/>
        <w:tab w:val="right" w:pos="9639"/>
      </w:tabs>
      <w:spacing w:before="120" w:after="60" w:line="240" w:lineRule="auto"/>
      <w:ind w:left="284"/>
    </w:pPr>
    <w:rPr>
      <w:rFonts w:ascii="Arial" w:eastAsia="Times New Roman" w:hAnsi="Arial" w:cs="Times New Roman"/>
      <w:noProof/>
      <w:sz w:val="24"/>
      <w:szCs w:val="24"/>
      <w:lang w:eastAsia="en-GB"/>
    </w:rPr>
  </w:style>
  <w:style w:type="paragraph" w:customStyle="1" w:styleId="bulletundernumbered">
    <w:name w:val="bullet (under numbered)"/>
    <w:rsid w:val="009B1821"/>
    <w:pPr>
      <w:numPr>
        <w:numId w:val="2"/>
      </w:numPr>
      <w:spacing w:after="240" w:line="288" w:lineRule="auto"/>
    </w:pPr>
    <w:rPr>
      <w:rFonts w:ascii="Arial" w:eastAsia="Times New Roman" w:hAnsi="Arial" w:cs="Arial"/>
      <w:sz w:val="24"/>
      <w:szCs w:val="24"/>
      <w:lang w:eastAsia="en-GB"/>
    </w:rPr>
  </w:style>
  <w:style w:type="paragraph" w:styleId="TOC1">
    <w:name w:val="toc 1"/>
    <w:basedOn w:val="Normal"/>
    <w:next w:val="Normal"/>
    <w:autoRedefine/>
    <w:uiPriority w:val="39"/>
    <w:semiHidden/>
    <w:unhideWhenUsed/>
    <w:rsid w:val="009B1821"/>
    <w:pPr>
      <w:spacing w:after="100"/>
    </w:pPr>
  </w:style>
  <w:style w:type="character" w:customStyle="1" w:styleId="Heading5Char">
    <w:name w:val="Heading 5 Char"/>
    <w:basedOn w:val="DefaultParagraphFont"/>
    <w:link w:val="Heading5"/>
    <w:uiPriority w:val="9"/>
    <w:semiHidden/>
    <w:rsid w:val="00543001"/>
    <w:rPr>
      <w:rFonts w:asciiTheme="majorHAnsi" w:eastAsiaTheme="majorEastAsia" w:hAnsiTheme="majorHAnsi" w:cstheme="majorBidi"/>
      <w:color w:val="243F60" w:themeColor="accent1" w:themeShade="7F"/>
    </w:rPr>
  </w:style>
  <w:style w:type="paragraph" w:styleId="NoSpacing">
    <w:name w:val="No Spacing"/>
    <w:uiPriority w:val="1"/>
    <w:qFormat/>
    <w:rsid w:val="00D313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311790">
      <w:bodyDiv w:val="1"/>
      <w:marLeft w:val="0"/>
      <w:marRight w:val="0"/>
      <w:marTop w:val="0"/>
      <w:marBottom w:val="0"/>
      <w:divBdr>
        <w:top w:val="none" w:sz="0" w:space="0" w:color="auto"/>
        <w:left w:val="none" w:sz="0" w:space="0" w:color="auto"/>
        <w:bottom w:val="none" w:sz="0" w:space="0" w:color="auto"/>
        <w:right w:val="none" w:sz="0" w:space="0" w:color="auto"/>
      </w:divBdr>
      <w:divsChild>
        <w:div w:id="2012098454">
          <w:marLeft w:val="-7500"/>
          <w:marRight w:val="0"/>
          <w:marTop w:val="75"/>
          <w:marBottom w:val="0"/>
          <w:divBdr>
            <w:top w:val="none" w:sz="0" w:space="0" w:color="auto"/>
            <w:left w:val="none" w:sz="0" w:space="0" w:color="auto"/>
            <w:bottom w:val="none" w:sz="0" w:space="0" w:color="auto"/>
            <w:right w:val="none" w:sz="0" w:space="0" w:color="auto"/>
          </w:divBdr>
          <w:divsChild>
            <w:div w:id="623921854">
              <w:marLeft w:val="90"/>
              <w:marRight w:val="90"/>
              <w:marTop w:val="45"/>
              <w:marBottom w:val="90"/>
              <w:divBdr>
                <w:top w:val="none" w:sz="0" w:space="0" w:color="auto"/>
                <w:left w:val="none" w:sz="0" w:space="0" w:color="auto"/>
                <w:bottom w:val="none" w:sz="0" w:space="0" w:color="auto"/>
                <w:right w:val="none" w:sz="0" w:space="0" w:color="auto"/>
              </w:divBdr>
              <w:divsChild>
                <w:div w:id="1968117945">
                  <w:marLeft w:val="0"/>
                  <w:marRight w:val="0"/>
                  <w:marTop w:val="0"/>
                  <w:marBottom w:val="0"/>
                  <w:divBdr>
                    <w:top w:val="none" w:sz="0" w:space="0" w:color="auto"/>
                    <w:left w:val="none" w:sz="0" w:space="0" w:color="auto"/>
                    <w:bottom w:val="none" w:sz="0" w:space="0" w:color="auto"/>
                    <w:right w:val="none" w:sz="0" w:space="0" w:color="auto"/>
                  </w:divBdr>
                </w:div>
                <w:div w:id="737090835">
                  <w:marLeft w:val="0"/>
                  <w:marRight w:val="0"/>
                  <w:marTop w:val="0"/>
                  <w:marBottom w:val="0"/>
                  <w:divBdr>
                    <w:top w:val="none" w:sz="0" w:space="0" w:color="auto"/>
                    <w:left w:val="none" w:sz="0" w:space="0" w:color="auto"/>
                    <w:bottom w:val="none" w:sz="0" w:space="0" w:color="auto"/>
                    <w:right w:val="none" w:sz="0" w:space="0" w:color="auto"/>
                  </w:divBdr>
                  <w:divsChild>
                    <w:div w:id="1690108882">
                      <w:marLeft w:val="0"/>
                      <w:marRight w:val="0"/>
                      <w:marTop w:val="225"/>
                      <w:marBottom w:val="90"/>
                      <w:divBdr>
                        <w:top w:val="none" w:sz="0" w:space="0" w:color="auto"/>
                        <w:left w:val="none" w:sz="0" w:space="0" w:color="auto"/>
                        <w:bottom w:val="none" w:sz="0" w:space="0" w:color="auto"/>
                        <w:right w:val="none" w:sz="0" w:space="0" w:color="auto"/>
                      </w:divBdr>
                      <w:divsChild>
                        <w:div w:id="2009207825">
                          <w:marLeft w:val="-2625"/>
                          <w:marRight w:val="0"/>
                          <w:marTop w:val="0"/>
                          <w:marBottom w:val="0"/>
                          <w:divBdr>
                            <w:top w:val="none" w:sz="0" w:space="0" w:color="auto"/>
                            <w:left w:val="none" w:sz="0" w:space="0" w:color="auto"/>
                            <w:bottom w:val="none" w:sz="0" w:space="0" w:color="auto"/>
                            <w:right w:val="none" w:sz="0" w:space="0" w:color="auto"/>
                          </w:divBdr>
                        </w:div>
                        <w:div w:id="1269583645">
                          <w:marLeft w:val="45"/>
                          <w:marRight w:val="0"/>
                          <w:marTop w:val="0"/>
                          <w:marBottom w:val="0"/>
                          <w:divBdr>
                            <w:top w:val="none" w:sz="0" w:space="0" w:color="auto"/>
                            <w:left w:val="none" w:sz="0" w:space="0" w:color="auto"/>
                            <w:bottom w:val="none" w:sz="0" w:space="0" w:color="auto"/>
                            <w:right w:val="none" w:sz="0" w:space="0" w:color="auto"/>
                          </w:divBdr>
                        </w:div>
                        <w:div w:id="716441526">
                          <w:marLeft w:val="45"/>
                          <w:marRight w:val="0"/>
                          <w:marTop w:val="0"/>
                          <w:marBottom w:val="0"/>
                          <w:divBdr>
                            <w:top w:val="none" w:sz="0" w:space="0" w:color="auto"/>
                            <w:left w:val="none" w:sz="0" w:space="0" w:color="auto"/>
                            <w:bottom w:val="none" w:sz="0" w:space="0" w:color="auto"/>
                            <w:right w:val="none" w:sz="0" w:space="0" w:color="auto"/>
                          </w:divBdr>
                        </w:div>
                        <w:div w:id="1780680185">
                          <w:marLeft w:val="45"/>
                          <w:marRight w:val="0"/>
                          <w:marTop w:val="0"/>
                          <w:marBottom w:val="0"/>
                          <w:divBdr>
                            <w:top w:val="none" w:sz="0" w:space="0" w:color="auto"/>
                            <w:left w:val="none" w:sz="0" w:space="0" w:color="auto"/>
                            <w:bottom w:val="none" w:sz="0" w:space="0" w:color="auto"/>
                            <w:right w:val="none" w:sz="0" w:space="0" w:color="auto"/>
                          </w:divBdr>
                        </w:div>
                        <w:div w:id="242111883">
                          <w:marLeft w:val="90"/>
                          <w:marRight w:val="90"/>
                          <w:marTop w:val="180"/>
                          <w:marBottom w:val="90"/>
                          <w:divBdr>
                            <w:top w:val="none" w:sz="0" w:space="0" w:color="auto"/>
                            <w:left w:val="none" w:sz="0" w:space="0" w:color="auto"/>
                            <w:bottom w:val="none" w:sz="0" w:space="0" w:color="auto"/>
                            <w:right w:val="none" w:sz="0" w:space="0" w:color="auto"/>
                          </w:divBdr>
                        </w:div>
                        <w:div w:id="1147552402">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 w:id="1639065902">
                  <w:marLeft w:val="0"/>
                  <w:marRight w:val="90"/>
                  <w:marTop w:val="0"/>
                  <w:marBottom w:val="0"/>
                  <w:divBdr>
                    <w:top w:val="none" w:sz="0" w:space="0" w:color="auto"/>
                    <w:left w:val="none" w:sz="0" w:space="0" w:color="auto"/>
                    <w:bottom w:val="none" w:sz="0" w:space="0" w:color="auto"/>
                    <w:right w:val="none" w:sz="0" w:space="0" w:color="auto"/>
                  </w:divBdr>
                  <w:divsChild>
                    <w:div w:id="1160271487">
                      <w:marLeft w:val="0"/>
                      <w:marRight w:val="0"/>
                      <w:marTop w:val="0"/>
                      <w:marBottom w:val="90"/>
                      <w:divBdr>
                        <w:top w:val="single" w:sz="12" w:space="0" w:color="666666"/>
                        <w:left w:val="single" w:sz="12" w:space="0" w:color="666666"/>
                        <w:bottom w:val="single" w:sz="12" w:space="0" w:color="666666"/>
                        <w:right w:val="single" w:sz="12" w:space="0" w:color="666666"/>
                      </w:divBdr>
                      <w:divsChild>
                        <w:div w:id="1858882785">
                          <w:marLeft w:val="0"/>
                          <w:marRight w:val="0"/>
                          <w:marTop w:val="0"/>
                          <w:marBottom w:val="180"/>
                          <w:divBdr>
                            <w:top w:val="none" w:sz="0" w:space="0" w:color="auto"/>
                            <w:left w:val="none" w:sz="0" w:space="0" w:color="auto"/>
                            <w:bottom w:val="none" w:sz="0" w:space="0" w:color="auto"/>
                            <w:right w:val="none" w:sz="0" w:space="0" w:color="auto"/>
                          </w:divBdr>
                        </w:div>
                        <w:div w:id="1612786701">
                          <w:marLeft w:val="90"/>
                          <w:marRight w:val="90"/>
                          <w:marTop w:val="90"/>
                          <w:marBottom w:val="90"/>
                          <w:divBdr>
                            <w:top w:val="none" w:sz="0" w:space="0" w:color="auto"/>
                            <w:left w:val="none" w:sz="0" w:space="0" w:color="auto"/>
                            <w:bottom w:val="none" w:sz="0" w:space="0" w:color="auto"/>
                            <w:right w:val="none" w:sz="0" w:space="0" w:color="auto"/>
                          </w:divBdr>
                        </w:div>
                        <w:div w:id="124279565">
                          <w:marLeft w:val="90"/>
                          <w:marRight w:val="90"/>
                          <w:marTop w:val="90"/>
                          <w:marBottom w:val="90"/>
                          <w:divBdr>
                            <w:top w:val="none" w:sz="0" w:space="0" w:color="auto"/>
                            <w:left w:val="none" w:sz="0" w:space="0" w:color="auto"/>
                            <w:bottom w:val="none" w:sz="0" w:space="0" w:color="auto"/>
                            <w:right w:val="none" w:sz="0" w:space="0" w:color="auto"/>
                          </w:divBdr>
                        </w:div>
                        <w:div w:id="747533963">
                          <w:marLeft w:val="90"/>
                          <w:marRight w:val="90"/>
                          <w:marTop w:val="90"/>
                          <w:marBottom w:val="90"/>
                          <w:divBdr>
                            <w:top w:val="none" w:sz="0" w:space="0" w:color="auto"/>
                            <w:left w:val="none" w:sz="0" w:space="0" w:color="auto"/>
                            <w:bottom w:val="none" w:sz="0" w:space="0" w:color="auto"/>
                            <w:right w:val="none" w:sz="0" w:space="0" w:color="auto"/>
                          </w:divBdr>
                        </w:div>
                        <w:div w:id="1633171505">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 w:id="775640112">
                  <w:marLeft w:val="0"/>
                  <w:marRight w:val="90"/>
                  <w:marTop w:val="0"/>
                  <w:marBottom w:val="0"/>
                  <w:divBdr>
                    <w:top w:val="none" w:sz="0" w:space="0" w:color="auto"/>
                    <w:left w:val="none" w:sz="0" w:space="0" w:color="auto"/>
                    <w:bottom w:val="none" w:sz="0" w:space="0" w:color="auto"/>
                    <w:right w:val="none" w:sz="0" w:space="0" w:color="auto"/>
                  </w:divBdr>
                  <w:divsChild>
                    <w:div w:id="696588040">
                      <w:marLeft w:val="0"/>
                      <w:marRight w:val="0"/>
                      <w:marTop w:val="0"/>
                      <w:marBottom w:val="90"/>
                      <w:divBdr>
                        <w:top w:val="single" w:sz="12" w:space="0" w:color="666666"/>
                        <w:left w:val="single" w:sz="12" w:space="0" w:color="666666"/>
                        <w:bottom w:val="single" w:sz="12" w:space="0" w:color="666666"/>
                        <w:right w:val="single" w:sz="12" w:space="0" w:color="666666"/>
                      </w:divBdr>
                      <w:divsChild>
                        <w:div w:id="1830638190">
                          <w:marLeft w:val="0"/>
                          <w:marRight w:val="0"/>
                          <w:marTop w:val="0"/>
                          <w:marBottom w:val="180"/>
                          <w:divBdr>
                            <w:top w:val="none" w:sz="0" w:space="0" w:color="auto"/>
                            <w:left w:val="none" w:sz="0" w:space="0" w:color="auto"/>
                            <w:bottom w:val="none" w:sz="0" w:space="0" w:color="auto"/>
                            <w:right w:val="none" w:sz="0" w:space="0" w:color="auto"/>
                          </w:divBdr>
                        </w:div>
                        <w:div w:id="1413621042">
                          <w:marLeft w:val="90"/>
                          <w:marRight w:val="90"/>
                          <w:marTop w:val="90"/>
                          <w:marBottom w:val="90"/>
                          <w:divBdr>
                            <w:top w:val="none" w:sz="0" w:space="0" w:color="auto"/>
                            <w:left w:val="none" w:sz="0" w:space="0" w:color="auto"/>
                            <w:bottom w:val="none" w:sz="0" w:space="0" w:color="auto"/>
                            <w:right w:val="none" w:sz="0" w:space="0" w:color="auto"/>
                          </w:divBdr>
                        </w:div>
                        <w:div w:id="1965043910">
                          <w:marLeft w:val="90"/>
                          <w:marRight w:val="90"/>
                          <w:marTop w:val="90"/>
                          <w:marBottom w:val="90"/>
                          <w:divBdr>
                            <w:top w:val="none" w:sz="0" w:space="0" w:color="auto"/>
                            <w:left w:val="none" w:sz="0" w:space="0" w:color="auto"/>
                            <w:bottom w:val="none" w:sz="0" w:space="0" w:color="auto"/>
                            <w:right w:val="none" w:sz="0" w:space="0" w:color="auto"/>
                          </w:divBdr>
                        </w:div>
                        <w:div w:id="744034436">
                          <w:marLeft w:val="90"/>
                          <w:marRight w:val="90"/>
                          <w:marTop w:val="90"/>
                          <w:marBottom w:val="90"/>
                          <w:divBdr>
                            <w:top w:val="none" w:sz="0" w:space="0" w:color="auto"/>
                            <w:left w:val="none" w:sz="0" w:space="0" w:color="auto"/>
                            <w:bottom w:val="none" w:sz="0" w:space="0" w:color="auto"/>
                            <w:right w:val="none" w:sz="0" w:space="0" w:color="auto"/>
                          </w:divBdr>
                        </w:div>
                        <w:div w:id="657150288">
                          <w:marLeft w:val="90"/>
                          <w:marRight w:val="90"/>
                          <w:marTop w:val="90"/>
                          <w:marBottom w:val="90"/>
                          <w:divBdr>
                            <w:top w:val="none" w:sz="0" w:space="0" w:color="auto"/>
                            <w:left w:val="none" w:sz="0" w:space="0" w:color="auto"/>
                            <w:bottom w:val="none" w:sz="0" w:space="0" w:color="auto"/>
                            <w:right w:val="none" w:sz="0" w:space="0" w:color="auto"/>
                          </w:divBdr>
                        </w:div>
                        <w:div w:id="391537228">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 w:id="1376352669">
                  <w:marLeft w:val="0"/>
                  <w:marRight w:val="0"/>
                  <w:marTop w:val="0"/>
                  <w:marBottom w:val="0"/>
                  <w:divBdr>
                    <w:top w:val="none" w:sz="0" w:space="0" w:color="auto"/>
                    <w:left w:val="none" w:sz="0" w:space="0" w:color="auto"/>
                    <w:bottom w:val="none" w:sz="0" w:space="0" w:color="auto"/>
                    <w:right w:val="none" w:sz="0" w:space="0" w:color="auto"/>
                  </w:divBdr>
                  <w:divsChild>
                    <w:div w:id="189338284">
                      <w:marLeft w:val="0"/>
                      <w:marRight w:val="0"/>
                      <w:marTop w:val="0"/>
                      <w:marBottom w:val="90"/>
                      <w:divBdr>
                        <w:top w:val="single" w:sz="12" w:space="0" w:color="666666"/>
                        <w:left w:val="single" w:sz="12" w:space="0" w:color="666666"/>
                        <w:bottom w:val="single" w:sz="12" w:space="0" w:color="666666"/>
                        <w:right w:val="single" w:sz="12" w:space="0" w:color="666666"/>
                      </w:divBdr>
                      <w:divsChild>
                        <w:div w:id="1384405877">
                          <w:marLeft w:val="0"/>
                          <w:marRight w:val="0"/>
                          <w:marTop w:val="0"/>
                          <w:marBottom w:val="180"/>
                          <w:divBdr>
                            <w:top w:val="none" w:sz="0" w:space="0" w:color="auto"/>
                            <w:left w:val="none" w:sz="0" w:space="0" w:color="auto"/>
                            <w:bottom w:val="none" w:sz="0" w:space="0" w:color="auto"/>
                            <w:right w:val="none" w:sz="0" w:space="0" w:color="auto"/>
                          </w:divBdr>
                        </w:div>
                        <w:div w:id="836116361">
                          <w:marLeft w:val="90"/>
                          <w:marRight w:val="90"/>
                          <w:marTop w:val="90"/>
                          <w:marBottom w:val="90"/>
                          <w:divBdr>
                            <w:top w:val="none" w:sz="0" w:space="0" w:color="auto"/>
                            <w:left w:val="none" w:sz="0" w:space="0" w:color="auto"/>
                            <w:bottom w:val="none" w:sz="0" w:space="0" w:color="auto"/>
                            <w:right w:val="none" w:sz="0" w:space="0" w:color="auto"/>
                          </w:divBdr>
                        </w:div>
                        <w:div w:id="1385106940">
                          <w:marLeft w:val="90"/>
                          <w:marRight w:val="90"/>
                          <w:marTop w:val="90"/>
                          <w:marBottom w:val="90"/>
                          <w:divBdr>
                            <w:top w:val="none" w:sz="0" w:space="0" w:color="auto"/>
                            <w:left w:val="none" w:sz="0" w:space="0" w:color="auto"/>
                            <w:bottom w:val="none" w:sz="0" w:space="0" w:color="auto"/>
                            <w:right w:val="none" w:sz="0" w:space="0" w:color="auto"/>
                          </w:divBdr>
                        </w:div>
                        <w:div w:id="133371537">
                          <w:marLeft w:val="90"/>
                          <w:marRight w:val="90"/>
                          <w:marTop w:val="90"/>
                          <w:marBottom w:val="90"/>
                          <w:divBdr>
                            <w:top w:val="none" w:sz="0" w:space="0" w:color="auto"/>
                            <w:left w:val="none" w:sz="0" w:space="0" w:color="auto"/>
                            <w:bottom w:val="none" w:sz="0" w:space="0" w:color="auto"/>
                            <w:right w:val="none" w:sz="0" w:space="0" w:color="auto"/>
                          </w:divBdr>
                        </w:div>
                        <w:div w:id="1513717582">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8</cp:revision>
  <cp:lastPrinted>2013-12-04T17:26:00Z</cp:lastPrinted>
  <dcterms:created xsi:type="dcterms:W3CDTF">2013-12-04T17:09:00Z</dcterms:created>
  <dcterms:modified xsi:type="dcterms:W3CDTF">2020-09-28T17:43:00Z</dcterms:modified>
</cp:coreProperties>
</file>