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FB686" w14:textId="77777777" w:rsidR="00BC379E" w:rsidRPr="008D0221" w:rsidRDefault="00BC379E" w:rsidP="00BC379E">
      <w:pPr>
        <w:spacing w:after="0" w:line="240" w:lineRule="auto"/>
        <w:rPr>
          <w:rFonts w:ascii="NTFPreCursivef" w:hAnsi="NTFPreCursivef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EBB996" wp14:editId="1D3B9938">
                <wp:simplePos x="0" y="0"/>
                <wp:positionH relativeFrom="column">
                  <wp:posOffset>-41910</wp:posOffset>
                </wp:positionH>
                <wp:positionV relativeFrom="paragraph">
                  <wp:posOffset>-140335</wp:posOffset>
                </wp:positionV>
                <wp:extent cx="860425" cy="7670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97F8E" w14:textId="77777777" w:rsidR="00BC379E" w:rsidRDefault="00BC379E" w:rsidP="00BC379E">
                            <w:pPr>
                              <w:jc w:val="center"/>
                            </w:pPr>
                            <w:r w:rsidRPr="00900B83">
                              <w:rPr>
                                <w:noProof/>
                              </w:rPr>
                              <w:drawing>
                                <wp:inline distT="0" distB="0" distL="0" distR="0" wp14:anchorId="57BF5AE7" wp14:editId="630F348B">
                                  <wp:extent cx="510363" cy="510363"/>
                                  <wp:effectExtent l="0" t="0" r="4445" b="4445"/>
                                  <wp:docPr id="1" name="Picture 1" descr="C:\Users\claire.andrews\Documents\Longton Lane Primary\Images\ll logo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laire.andrews\Documents\Longton Lane Primary\Images\ll logo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874" cy="5158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BB9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-11.05pt;width:67.75pt;height:60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7aXfQIAAAwFAAAOAAAAZHJzL2Uyb0RvYy54bWysVNuO2yAQfa/Uf0C8Z32Rc7EVZ7WXuqq0&#10;vUi7/QACOEbFgICNva367x1wkk23rVRV9QMGZjicmTnD+nLsJdpz64RWNc4uUoy4opoJtavx54dm&#10;tsLIeaIYkVrxGj9xhy83r1+tB1PxXHdaMm4RgChXDabGnfemShJHO94Td6ENV2Bste2Jh6XdJcyS&#10;AdB7meRpukgGbZmxmnLnYPd2MuJNxG9bTv3HtnXcI1lj4ObjaOO4DWOyWZNqZ4npBD3QIP/AoidC&#10;waUnqFviCXq04heoXlCrnW79BdV9ottWUB5jgGiy9EU09x0xPMYCyXHmlCb3/2Dph/0niwSrcY6R&#10;Ij2U6IGPHl3rEeUhO4NxFTjdG3DzI2xDlWOkztxp+sUhpW86onb8ylo9dJwwYJeFk8nZ0QnHBZDt&#10;8F4zuIY8eh2Bxtb2IXWQDAToUKWnU2UCFQqbq0Va5HOMKJiWi2W6ipVLSHU8bKzzb7nuUZjU2ELh&#10;IzjZ3zkfyJDq6BLucloK1ggp48LutjfSoj0BkTTxi/xfuEkVnJUOxybEaQc4wh3BFtjGon8rs7xI&#10;r/Ny1ixWy1nRFPNZCaxnaVZelxBLWdw23wPBrKg6wRhXd0LxowCz4u8KfGiFSTpRgmiocTmHTMW4&#10;/hhkGr/fBdkLD/0oRQ85PzmRKtT1jWIQNqk8EXKaJz/Tj1mGHBz/MStRBaHwkwT8uB0BJUhjq9kT&#10;6MFqqBcUHR4RmHTafsVogIassYIXAyP5ToGiyqwoQv/GRTFf5rCw55btuYUoCkA19hhN0xs/9fyj&#10;sWLXwT1HDV+BChsRFfLM6aBdaLkYyuF5CD19vo5ez4/Y5gcAAAD//wMAUEsDBBQABgAIAAAAIQBG&#10;agds3wAAAAkBAAAPAAAAZHJzL2Rvd25yZXYueG1sTI9BasMwEEX3hd5BTKG7RI4Lju1aDqWl0FAI&#10;JO0BZGlim1ojV1Ji5/ZVVs1qGObx5/1qM5uBndH53pKA1TIBhqSs7qkV8P31vsiB+SBJy8ESCrig&#10;h019f1fJUtuJ9ng+hJbFEPKlFNCFMJace9WhkX5pR6R4O1pnZIira7l2corhZuBpkmTcyJ7ih06O&#10;+Nqh+jmcjIC33jW/yj59ZOvPQu32/jhtd1yIx4f55RlYwDn8w3DVj+pQR6fGnkh7NghYZFkk40zT&#10;FbArkOYFsEZAka+B1xW/bVD/AQAA//8DAFBLAQItABQABgAIAAAAIQC2gziS/gAAAOEBAAATAAAA&#10;AAAAAAAAAAAAAAAAAABbQ29udGVudF9UeXBlc10ueG1sUEsBAi0AFAAGAAgAAAAhADj9If/WAAAA&#10;lAEAAAsAAAAAAAAAAAAAAAAALwEAAF9yZWxzLy5yZWxzUEsBAi0AFAAGAAgAAAAhAByLtpd9AgAA&#10;DAUAAA4AAAAAAAAAAAAAAAAALgIAAGRycy9lMm9Eb2MueG1sUEsBAi0AFAAGAAgAAAAhAEZqB2zf&#10;AAAACQEAAA8AAAAAAAAAAAAAAAAA1wQAAGRycy9kb3ducmV2LnhtbFBLBQYAAAAABAAEAPMAAADj&#10;BQAAAAA=&#10;" stroked="f">
                <v:textbox style="mso-fit-shape-to-text:t">
                  <w:txbxContent>
                    <w:p w14:paraId="6C997F8E" w14:textId="77777777" w:rsidR="00BC379E" w:rsidRDefault="00BC379E" w:rsidP="00BC379E">
                      <w:pPr>
                        <w:jc w:val="center"/>
                      </w:pPr>
                      <w:r w:rsidRPr="00900B83">
                        <w:rPr>
                          <w:noProof/>
                        </w:rPr>
                        <w:drawing>
                          <wp:inline distT="0" distB="0" distL="0" distR="0" wp14:anchorId="57BF5AE7" wp14:editId="630F348B">
                            <wp:extent cx="510363" cy="510363"/>
                            <wp:effectExtent l="0" t="0" r="4445" b="4445"/>
                            <wp:docPr id="1" name="Picture 1" descr="C:\Users\claire.andrews\Documents\Longton Lane Primary\Images\ll logo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laire.andrews\Documents\Longton Lane Primary\Images\ll logo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874" cy="5158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b/>
          <w:bCs/>
        </w:rPr>
        <w:t xml:space="preserve">                 </w:t>
      </w:r>
      <w:r w:rsidRPr="008D0221">
        <w:rPr>
          <w:rFonts w:ascii="NTFPreCursivef" w:hAnsi="NTFPreCursivef" w:cs="Arial"/>
          <w:sz w:val="36"/>
          <w:szCs w:val="36"/>
        </w:rPr>
        <w:t>LONGTON LANE COMMUNITY PRIMARY SCHOOL</w:t>
      </w:r>
    </w:p>
    <w:p w14:paraId="47EA2073" w14:textId="15651D45" w:rsidR="00BC379E" w:rsidRPr="00A22022" w:rsidRDefault="00BC379E" w:rsidP="00BC379E">
      <w:pPr>
        <w:spacing w:after="0" w:line="240" w:lineRule="auto"/>
        <w:rPr>
          <w:rFonts w:ascii="Bradley Hand ITC" w:hAnsi="Bradley Hand ITC"/>
          <w:b/>
          <w:bCs/>
          <w:color w:val="FF0000"/>
          <w:sz w:val="32"/>
          <w:szCs w:val="32"/>
        </w:rPr>
      </w:pPr>
      <w:r w:rsidRPr="00A22022">
        <w:rPr>
          <w:rFonts w:ascii="Bradley Hand ITC" w:hAnsi="Bradley Hand ITC"/>
          <w:b/>
          <w:bCs/>
          <w:color w:val="FF0000"/>
          <w:sz w:val="32"/>
          <w:szCs w:val="32"/>
        </w:rPr>
        <w:t xml:space="preserve">                                           </w:t>
      </w:r>
      <w:r>
        <w:rPr>
          <w:rFonts w:ascii="Bradley Hand ITC" w:hAnsi="Bradley Hand ITC"/>
          <w:b/>
          <w:bCs/>
          <w:color w:val="FF0000"/>
          <w:sz w:val="32"/>
          <w:szCs w:val="32"/>
        </w:rPr>
        <w:t xml:space="preserve">                 </w:t>
      </w:r>
      <w:r>
        <w:rPr>
          <w:rFonts w:ascii="Bradley Hand ITC" w:hAnsi="Bradley Hand ITC"/>
          <w:b/>
          <w:bCs/>
          <w:color w:val="FF0000"/>
          <w:sz w:val="32"/>
          <w:szCs w:val="32"/>
        </w:rPr>
        <w:t xml:space="preserve">                   </w:t>
      </w:r>
      <w:r w:rsidRPr="00A22022">
        <w:rPr>
          <w:rFonts w:ascii="Bradley Hand ITC" w:hAnsi="Bradley Hand ITC"/>
          <w:b/>
          <w:bCs/>
          <w:color w:val="FF0000"/>
          <w:sz w:val="32"/>
          <w:szCs w:val="32"/>
        </w:rPr>
        <w:t xml:space="preserve">   ‘Believe and Achieve’</w:t>
      </w:r>
    </w:p>
    <w:p w14:paraId="40FAC4DF" w14:textId="7C589001" w:rsidR="00EA2C91" w:rsidRPr="00BC379E" w:rsidRDefault="00BC379E" w:rsidP="00BC379E">
      <w:pPr>
        <w:tabs>
          <w:tab w:val="left" w:pos="1373"/>
          <w:tab w:val="left" w:pos="3585"/>
        </w:tabs>
        <w:spacing w:after="0" w:line="240" w:lineRule="auto"/>
        <w:jc w:val="center"/>
        <w:rPr>
          <w:rFonts w:ascii="NTFPreCursivef" w:hAnsi="NTFPreCursivef"/>
          <w:b/>
          <w:sz w:val="24"/>
          <w:szCs w:val="24"/>
          <w:u w:val="single"/>
        </w:rPr>
      </w:pPr>
      <w:r>
        <w:rPr>
          <w:rFonts w:ascii="NTFPreCursivef" w:hAnsi="NTFPreCursivef"/>
          <w:b/>
          <w:sz w:val="24"/>
          <w:szCs w:val="24"/>
          <w:u w:val="single"/>
        </w:rPr>
        <w:t>ENGLISH</w:t>
      </w:r>
      <w:r>
        <w:rPr>
          <w:rFonts w:ascii="NTFPreCursivef" w:hAnsi="NTFPreCursivef"/>
          <w:b/>
          <w:sz w:val="24"/>
          <w:szCs w:val="24"/>
          <w:u w:val="single"/>
        </w:rPr>
        <w:t xml:space="preserve"> LONG TERM PL</w:t>
      </w:r>
      <w:r w:rsidR="00F85706" w:rsidRPr="00BC379E">
        <w:rPr>
          <w:rFonts w:ascii="NTFPreCursivef" w:hAnsi="NTFPreCursivef"/>
          <w:b/>
          <w:sz w:val="24"/>
          <w:szCs w:val="24"/>
          <w:u w:val="single"/>
        </w:rPr>
        <w:t>ANNING YEAR 3</w:t>
      </w:r>
      <w:r>
        <w:rPr>
          <w:rFonts w:ascii="NTFPreCursivef" w:hAnsi="NTFPreCursivef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5387"/>
        <w:gridCol w:w="1984"/>
        <w:gridCol w:w="2410"/>
        <w:gridCol w:w="3827"/>
        <w:gridCol w:w="3828"/>
      </w:tblGrid>
      <w:tr w:rsidR="00F85706" w:rsidRPr="00BC379E" w14:paraId="2823B958" w14:textId="77777777" w:rsidTr="00E82C5D">
        <w:tc>
          <w:tcPr>
            <w:tcW w:w="22080" w:type="dxa"/>
            <w:gridSpan w:val="7"/>
            <w:shd w:val="clear" w:color="auto" w:fill="D9D9D9" w:themeFill="background1" w:themeFillShade="D9"/>
          </w:tcPr>
          <w:p w14:paraId="132907FA" w14:textId="29A0BA0D" w:rsidR="00F85706" w:rsidRPr="00BC379E" w:rsidRDefault="00F85706" w:rsidP="009522C9">
            <w:pPr>
              <w:jc w:val="center"/>
              <w:rPr>
                <w:rFonts w:ascii="NTFPreCursivef" w:hAnsi="NTFPreCursivef"/>
                <w:b/>
              </w:rPr>
            </w:pPr>
            <w:r w:rsidRPr="00BC379E">
              <w:rPr>
                <w:rFonts w:ascii="NTFPreCursivef" w:hAnsi="NTFPreCursivef"/>
                <w:b/>
              </w:rPr>
              <w:t>ENGLISH</w:t>
            </w:r>
          </w:p>
        </w:tc>
      </w:tr>
      <w:tr w:rsidR="00E82C5D" w:rsidRPr="00BC379E" w14:paraId="74E2A535" w14:textId="77777777" w:rsidTr="00BC379E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7D8A2F4B" w14:textId="77777777" w:rsidR="00F85706" w:rsidRPr="00BC379E" w:rsidRDefault="00F85706" w:rsidP="009522C9">
            <w:pPr>
              <w:jc w:val="center"/>
              <w:rPr>
                <w:rFonts w:ascii="NTFPreCursivef" w:hAnsi="NTFPreCursivef"/>
              </w:rPr>
            </w:pPr>
            <w:r w:rsidRPr="00BC379E">
              <w:rPr>
                <w:rFonts w:ascii="NTFPreCursivef" w:hAnsi="NTFPreCursivef"/>
              </w:rPr>
              <w:t>Spoken Word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94557A4" w14:textId="77777777" w:rsidR="00F85706" w:rsidRPr="00BC379E" w:rsidRDefault="00F85706" w:rsidP="009522C9">
            <w:pPr>
              <w:jc w:val="center"/>
              <w:rPr>
                <w:rFonts w:ascii="NTFPreCursivef" w:hAnsi="NTFPreCursivef"/>
              </w:rPr>
            </w:pPr>
            <w:r w:rsidRPr="00BC379E">
              <w:rPr>
                <w:rFonts w:ascii="NTFPreCursivef" w:hAnsi="NTFPreCursivef"/>
              </w:rPr>
              <w:t>Word Reading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3440111C" w14:textId="77777777" w:rsidR="00F85706" w:rsidRPr="00BC379E" w:rsidRDefault="00F85706" w:rsidP="009522C9">
            <w:pPr>
              <w:jc w:val="center"/>
              <w:rPr>
                <w:rFonts w:ascii="NTFPreCursivef" w:hAnsi="NTFPreCursivef"/>
              </w:rPr>
            </w:pPr>
            <w:r w:rsidRPr="00BC379E">
              <w:rPr>
                <w:rFonts w:ascii="NTFPreCursivef" w:hAnsi="NTFPreCursivef"/>
              </w:rPr>
              <w:t>Comprehension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8DD338B" w14:textId="1AD22870" w:rsidR="00F85706" w:rsidRPr="00BC379E" w:rsidRDefault="00AF7521" w:rsidP="009522C9">
            <w:pPr>
              <w:jc w:val="center"/>
              <w:rPr>
                <w:rFonts w:ascii="NTFPreCursivef" w:hAnsi="NTFPreCursivef"/>
              </w:rPr>
            </w:pPr>
            <w:r w:rsidRPr="00BC379E">
              <w:rPr>
                <w:rFonts w:ascii="NTFPreCursivef" w:hAnsi="NTFPreCursivef"/>
              </w:rPr>
              <w:t>Writing – T</w:t>
            </w:r>
            <w:r w:rsidR="00F85706" w:rsidRPr="00BC379E">
              <w:rPr>
                <w:rFonts w:ascii="NTFPreCursivef" w:hAnsi="NTFPreCursivef"/>
              </w:rPr>
              <w:t>ranscription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90F2333" w14:textId="77777777" w:rsidR="00F85706" w:rsidRPr="00BC379E" w:rsidRDefault="00F85706" w:rsidP="009522C9">
            <w:pPr>
              <w:jc w:val="center"/>
              <w:rPr>
                <w:rFonts w:ascii="NTFPreCursivef" w:hAnsi="NTFPreCursivef"/>
              </w:rPr>
            </w:pPr>
            <w:r w:rsidRPr="00BC379E">
              <w:rPr>
                <w:rFonts w:ascii="NTFPreCursivef" w:hAnsi="NTFPreCursivef"/>
              </w:rPr>
              <w:t>Writing – Handwriting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4C65536" w14:textId="77777777" w:rsidR="00F85706" w:rsidRPr="00BC379E" w:rsidRDefault="00F85706" w:rsidP="009522C9">
            <w:pPr>
              <w:jc w:val="center"/>
              <w:rPr>
                <w:rFonts w:ascii="NTFPreCursivef" w:hAnsi="NTFPreCursivef"/>
              </w:rPr>
            </w:pPr>
            <w:r w:rsidRPr="00BC379E">
              <w:rPr>
                <w:rFonts w:ascii="NTFPreCursivef" w:hAnsi="NTFPreCursivef"/>
              </w:rPr>
              <w:t>Writing – Composition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7BFD1DB" w14:textId="77777777" w:rsidR="00F85706" w:rsidRPr="00BC379E" w:rsidRDefault="00F85706" w:rsidP="009522C9">
            <w:pPr>
              <w:jc w:val="center"/>
              <w:rPr>
                <w:rFonts w:ascii="NTFPreCursivef" w:hAnsi="NTFPreCursivef"/>
              </w:rPr>
            </w:pPr>
            <w:r w:rsidRPr="00BC379E">
              <w:rPr>
                <w:rFonts w:ascii="NTFPreCursivef" w:hAnsi="NTFPreCursivef"/>
              </w:rPr>
              <w:t>Writing – Grammar, Vocabulary and Punctuation</w:t>
            </w:r>
          </w:p>
        </w:tc>
      </w:tr>
      <w:tr w:rsidR="00E82C5D" w:rsidRPr="00BC379E" w14:paraId="10F08F9E" w14:textId="77777777" w:rsidTr="00BC379E">
        <w:trPr>
          <w:trHeight w:val="848"/>
        </w:trPr>
        <w:tc>
          <w:tcPr>
            <w:tcW w:w="3085" w:type="dxa"/>
          </w:tcPr>
          <w:p w14:paraId="45B23EE6" w14:textId="58F67440" w:rsidR="00C14E9A" w:rsidRPr="00BC379E" w:rsidRDefault="00C14E9A" w:rsidP="00C14E9A">
            <w:pPr>
              <w:pStyle w:val="ListParagraph"/>
              <w:numPr>
                <w:ilvl w:val="0"/>
                <w:numId w:val="41"/>
              </w:numPr>
              <w:ind w:left="284" w:hanging="283"/>
              <w:rPr>
                <w:rFonts w:ascii="NTFPreCursivef" w:eastAsia="Times New Roman" w:hAnsi="NTFPreCursivef" w:cs="Arial"/>
                <w:color w:val="000000"/>
              </w:rPr>
            </w:pPr>
            <w:r w:rsidRPr="00BC379E">
              <w:rPr>
                <w:rFonts w:ascii="NTFPreCursivef" w:eastAsia="Times New Roman" w:hAnsi="NTFPreCursivef" w:cs="Arial"/>
                <w:color w:val="000000"/>
              </w:rPr>
              <w:t xml:space="preserve">Gives structured descriptions, explanations and narratives for different purposes </w:t>
            </w:r>
          </w:p>
          <w:p w14:paraId="01D69638" w14:textId="77777777" w:rsidR="00C14E9A" w:rsidRPr="00BC379E" w:rsidRDefault="00C14E9A" w:rsidP="00C14E9A">
            <w:pPr>
              <w:ind w:left="1"/>
              <w:rPr>
                <w:rFonts w:ascii="NTFPreCursivef" w:eastAsia="Times New Roman" w:hAnsi="NTFPreCursivef" w:cs="Arial"/>
                <w:color w:val="000000"/>
              </w:rPr>
            </w:pPr>
          </w:p>
          <w:p w14:paraId="6223E2DB" w14:textId="2698B80F" w:rsidR="00C14E9A" w:rsidRPr="00BC379E" w:rsidRDefault="00C14E9A" w:rsidP="00C14E9A">
            <w:pPr>
              <w:pStyle w:val="ListParagraph"/>
              <w:numPr>
                <w:ilvl w:val="0"/>
                <w:numId w:val="41"/>
              </w:numPr>
              <w:ind w:left="284" w:hanging="283"/>
              <w:rPr>
                <w:rFonts w:ascii="NTFPreCursivef" w:eastAsia="Times New Roman" w:hAnsi="NTFPreCursivef" w:cs="Arial"/>
                <w:color w:val="000000"/>
              </w:rPr>
            </w:pPr>
            <w:r w:rsidRPr="00BC379E">
              <w:rPr>
                <w:rFonts w:ascii="NTFPreCursivef" w:eastAsia="Times New Roman" w:hAnsi="NTFPreCursivef" w:cs="Arial"/>
                <w:color w:val="000000"/>
              </w:rPr>
              <w:t>Uses a range of vocabulary appropriate to the subject matter.</w:t>
            </w:r>
          </w:p>
          <w:p w14:paraId="4BD9E96C" w14:textId="77777777" w:rsidR="00C14E9A" w:rsidRPr="00BC379E" w:rsidRDefault="00C14E9A" w:rsidP="00C14E9A">
            <w:pPr>
              <w:ind w:left="1"/>
              <w:rPr>
                <w:rFonts w:ascii="NTFPreCursivef" w:eastAsia="Times New Roman" w:hAnsi="NTFPreCursivef" w:cs="Arial"/>
                <w:color w:val="000000"/>
              </w:rPr>
            </w:pPr>
          </w:p>
          <w:p w14:paraId="15C2DB94" w14:textId="30BF7379" w:rsidR="00C14E9A" w:rsidRPr="00BC379E" w:rsidRDefault="00C14E9A" w:rsidP="00C14E9A">
            <w:pPr>
              <w:pStyle w:val="ListParagraph"/>
              <w:numPr>
                <w:ilvl w:val="0"/>
                <w:numId w:val="41"/>
              </w:numPr>
              <w:ind w:left="284" w:hanging="283"/>
              <w:rPr>
                <w:rFonts w:ascii="NTFPreCursivef" w:eastAsia="Times New Roman" w:hAnsi="NTFPreCursivef" w:cs="Arial"/>
                <w:color w:val="000000"/>
              </w:rPr>
            </w:pPr>
            <w:r w:rsidRPr="00BC379E">
              <w:rPr>
                <w:rFonts w:ascii="NTFPreCursivef" w:eastAsia="Times New Roman" w:hAnsi="NTFPreCursivef" w:cs="Arial"/>
                <w:color w:val="000000"/>
              </w:rPr>
              <w:t>Explores ideas through speculating, hypothesising and imagining.</w:t>
            </w:r>
          </w:p>
          <w:p w14:paraId="3BBDC2F2" w14:textId="77777777" w:rsidR="00C14E9A" w:rsidRPr="00BC379E" w:rsidRDefault="00C14E9A" w:rsidP="00C14E9A">
            <w:pPr>
              <w:ind w:left="1"/>
              <w:rPr>
                <w:rFonts w:ascii="NTFPreCursivef" w:eastAsia="Times New Roman" w:hAnsi="NTFPreCursivef" w:cs="Arial"/>
                <w:color w:val="000000"/>
              </w:rPr>
            </w:pPr>
          </w:p>
          <w:p w14:paraId="6F6E8572" w14:textId="6D129EAD" w:rsidR="00C14E9A" w:rsidRPr="00BC379E" w:rsidRDefault="00C14E9A" w:rsidP="00C14E9A">
            <w:pPr>
              <w:pStyle w:val="ListParagraph"/>
              <w:numPr>
                <w:ilvl w:val="0"/>
                <w:numId w:val="41"/>
              </w:numPr>
              <w:ind w:left="284" w:hanging="283"/>
              <w:rPr>
                <w:rFonts w:ascii="NTFPreCursivef" w:eastAsia="Times New Roman" w:hAnsi="NTFPreCursivef" w:cs="Arial"/>
                <w:color w:val="000000"/>
              </w:rPr>
            </w:pPr>
            <w:r w:rsidRPr="00BC379E">
              <w:rPr>
                <w:rFonts w:ascii="NTFPreCursivef" w:eastAsia="Times New Roman" w:hAnsi="NTFPreCursivef" w:cs="Arial"/>
                <w:color w:val="000000"/>
              </w:rPr>
              <w:t>Uses appropriate vocabulary and begins to build their vocabulary using a range of strategies.</w:t>
            </w:r>
          </w:p>
          <w:p w14:paraId="7E5E4D5A" w14:textId="77777777" w:rsidR="00C14E9A" w:rsidRPr="00BC379E" w:rsidRDefault="00C14E9A" w:rsidP="00C14E9A">
            <w:pPr>
              <w:ind w:left="1"/>
              <w:rPr>
                <w:rFonts w:ascii="NTFPreCursivef" w:eastAsia="Times New Roman" w:hAnsi="NTFPreCursivef" w:cs="Arial"/>
                <w:color w:val="000000"/>
              </w:rPr>
            </w:pPr>
          </w:p>
          <w:p w14:paraId="7E024798" w14:textId="2B93D67D" w:rsidR="00C14E9A" w:rsidRPr="00BC379E" w:rsidRDefault="00C14E9A" w:rsidP="00C14E9A">
            <w:pPr>
              <w:pStyle w:val="ListParagraph"/>
              <w:numPr>
                <w:ilvl w:val="0"/>
                <w:numId w:val="41"/>
              </w:numPr>
              <w:ind w:left="284" w:hanging="283"/>
              <w:rPr>
                <w:rFonts w:ascii="NTFPreCursivef" w:eastAsia="Times New Roman" w:hAnsi="NTFPreCursivef" w:cs="Arial"/>
                <w:color w:val="000000"/>
              </w:rPr>
            </w:pPr>
            <w:r w:rsidRPr="00BC379E">
              <w:rPr>
                <w:rFonts w:ascii="NTFPreCursivef" w:eastAsia="Times New Roman" w:hAnsi="NTFPreCursivef" w:cs="Arial"/>
                <w:color w:val="000000"/>
              </w:rPr>
              <w:t>Begins to adapt what they say to the needs of the listener.</w:t>
            </w:r>
          </w:p>
          <w:p w14:paraId="619853FF" w14:textId="77777777" w:rsidR="00C14E9A" w:rsidRPr="00BC379E" w:rsidRDefault="00C14E9A" w:rsidP="00C14E9A">
            <w:pPr>
              <w:ind w:left="1"/>
              <w:rPr>
                <w:rFonts w:ascii="NTFPreCursivef" w:eastAsia="Times New Roman" w:hAnsi="NTFPreCursivef" w:cs="Arial"/>
                <w:color w:val="000000"/>
              </w:rPr>
            </w:pPr>
          </w:p>
          <w:p w14:paraId="388182B0" w14:textId="06698AEA" w:rsidR="00C14E9A" w:rsidRPr="00BC379E" w:rsidRDefault="00C14E9A" w:rsidP="00C14E9A">
            <w:pPr>
              <w:pStyle w:val="ListParagraph"/>
              <w:numPr>
                <w:ilvl w:val="0"/>
                <w:numId w:val="41"/>
              </w:numPr>
              <w:ind w:left="284" w:hanging="283"/>
              <w:rPr>
                <w:rFonts w:ascii="NTFPreCursivef" w:eastAsia="Times New Roman" w:hAnsi="NTFPreCursivef" w:cs="Arial"/>
                <w:color w:val="000000"/>
              </w:rPr>
            </w:pPr>
            <w:r w:rsidRPr="00BC379E">
              <w:rPr>
                <w:rFonts w:ascii="NTFPreCursivef" w:eastAsia="Times New Roman" w:hAnsi="NTFPreCursivef" w:cs="Arial"/>
                <w:color w:val="000000"/>
              </w:rPr>
              <w:t>Listens and responds appropriately to adults and peers in a wide variety of contexts</w:t>
            </w:r>
          </w:p>
          <w:p w14:paraId="1A02ECC8" w14:textId="77777777" w:rsidR="00C14E9A" w:rsidRPr="00BC379E" w:rsidRDefault="00C14E9A" w:rsidP="00C14E9A">
            <w:pPr>
              <w:ind w:left="1"/>
              <w:rPr>
                <w:rFonts w:ascii="NTFPreCursivef" w:eastAsia="Times New Roman" w:hAnsi="NTFPreCursivef" w:cs="Arial"/>
                <w:color w:val="000000"/>
              </w:rPr>
            </w:pPr>
          </w:p>
          <w:p w14:paraId="5B7F6623" w14:textId="7430F14A" w:rsidR="00C14E9A" w:rsidRPr="00BC379E" w:rsidRDefault="00C14E9A" w:rsidP="00C14E9A">
            <w:pPr>
              <w:pStyle w:val="ListParagraph"/>
              <w:numPr>
                <w:ilvl w:val="0"/>
                <w:numId w:val="41"/>
              </w:numPr>
              <w:ind w:left="284" w:hanging="283"/>
              <w:rPr>
                <w:rFonts w:ascii="NTFPreCursivef" w:eastAsia="Times New Roman" w:hAnsi="NTFPreCursivef" w:cs="Arial"/>
                <w:color w:val="000000"/>
              </w:rPr>
            </w:pPr>
            <w:r w:rsidRPr="00BC379E">
              <w:rPr>
                <w:rFonts w:ascii="NTFPreCursivef" w:eastAsia="Times New Roman" w:hAnsi="NTFPreCursivef" w:cs="Arial"/>
                <w:color w:val="000000"/>
              </w:rPr>
              <w:t>Formulates relevant responses on the basis of what has been said/heard.</w:t>
            </w:r>
          </w:p>
          <w:p w14:paraId="14A5A895" w14:textId="77777777" w:rsidR="00C14E9A" w:rsidRPr="00BC379E" w:rsidRDefault="00C14E9A" w:rsidP="00C14E9A">
            <w:pPr>
              <w:ind w:left="1"/>
              <w:rPr>
                <w:rFonts w:ascii="NTFPreCursivef" w:eastAsia="Times New Roman" w:hAnsi="NTFPreCursivef" w:cs="Arial"/>
                <w:color w:val="000000"/>
              </w:rPr>
            </w:pPr>
          </w:p>
          <w:p w14:paraId="417E4281" w14:textId="2E033A92" w:rsidR="00C14E9A" w:rsidRPr="00BC379E" w:rsidRDefault="00C14E9A" w:rsidP="00C14E9A">
            <w:pPr>
              <w:pStyle w:val="ListParagraph"/>
              <w:numPr>
                <w:ilvl w:val="0"/>
                <w:numId w:val="41"/>
              </w:numPr>
              <w:ind w:left="284" w:hanging="283"/>
              <w:rPr>
                <w:rFonts w:ascii="NTFPreCursivef" w:eastAsia="Times New Roman" w:hAnsi="NTFPreCursivef" w:cs="Arial"/>
                <w:color w:val="000000"/>
              </w:rPr>
            </w:pPr>
            <w:r w:rsidRPr="00BC379E">
              <w:rPr>
                <w:rFonts w:ascii="NTFPreCursivef" w:eastAsia="Times New Roman" w:hAnsi="NTFPreCursivef" w:cs="Arial"/>
                <w:color w:val="000000"/>
              </w:rPr>
              <w:t>Begins to gain and maintain the attention of the listener through staying on topic.</w:t>
            </w:r>
          </w:p>
          <w:p w14:paraId="4CEAB4C0" w14:textId="77777777" w:rsidR="00C14E9A" w:rsidRPr="00BC379E" w:rsidRDefault="00C14E9A" w:rsidP="00C14E9A">
            <w:pPr>
              <w:ind w:left="1"/>
              <w:rPr>
                <w:rFonts w:ascii="NTFPreCursivef" w:eastAsia="Times New Roman" w:hAnsi="NTFPreCursivef" w:cs="Arial"/>
                <w:color w:val="000000"/>
              </w:rPr>
            </w:pPr>
          </w:p>
          <w:p w14:paraId="23CA1705" w14:textId="6203287B" w:rsidR="00C14E9A" w:rsidRPr="00BC379E" w:rsidRDefault="00C14E9A" w:rsidP="00C14E9A">
            <w:pPr>
              <w:pStyle w:val="ListParagraph"/>
              <w:numPr>
                <w:ilvl w:val="0"/>
                <w:numId w:val="41"/>
              </w:numPr>
              <w:ind w:left="284" w:hanging="283"/>
              <w:rPr>
                <w:rFonts w:ascii="NTFPreCursivef" w:eastAsia="Times New Roman" w:hAnsi="NTFPreCursivef" w:cs="Arial"/>
                <w:color w:val="000000"/>
              </w:rPr>
            </w:pPr>
            <w:r w:rsidRPr="00BC379E">
              <w:rPr>
                <w:rFonts w:ascii="NTFPreCursivef" w:eastAsia="Times New Roman" w:hAnsi="NTFPreCursivef" w:cs="Arial"/>
                <w:color w:val="000000"/>
              </w:rPr>
              <w:t>Begins to ask relevant questions to extend their knowledge and understanding.</w:t>
            </w:r>
          </w:p>
          <w:p w14:paraId="2E34E9A0" w14:textId="77777777" w:rsidR="00C14E9A" w:rsidRPr="00BC379E" w:rsidRDefault="00C14E9A" w:rsidP="00C14E9A">
            <w:pPr>
              <w:ind w:left="1"/>
              <w:rPr>
                <w:rFonts w:ascii="NTFPreCursivef" w:eastAsia="Times New Roman" w:hAnsi="NTFPreCursivef" w:cs="Arial"/>
                <w:color w:val="000000"/>
              </w:rPr>
            </w:pPr>
          </w:p>
          <w:p w14:paraId="1AE1F196" w14:textId="463378D1" w:rsidR="00C14E9A" w:rsidRPr="00BC379E" w:rsidRDefault="00C14E9A" w:rsidP="00C14E9A">
            <w:pPr>
              <w:pStyle w:val="ListParagraph"/>
              <w:numPr>
                <w:ilvl w:val="0"/>
                <w:numId w:val="41"/>
              </w:numPr>
              <w:ind w:left="284" w:hanging="283"/>
              <w:rPr>
                <w:rFonts w:ascii="NTFPreCursivef" w:eastAsia="Times New Roman" w:hAnsi="NTFPreCursivef" w:cs="Arial"/>
                <w:color w:val="000000"/>
              </w:rPr>
            </w:pPr>
            <w:r w:rsidRPr="00BC379E">
              <w:rPr>
                <w:rFonts w:ascii="NTFPreCursivef" w:eastAsia="Times New Roman" w:hAnsi="NTFPreCursivef" w:cs="Arial"/>
                <w:color w:val="000000"/>
              </w:rPr>
              <w:t>Takes on straightforward roles and responsibilities in small group/ collaborative discussions.</w:t>
            </w:r>
          </w:p>
          <w:p w14:paraId="3FAEBF92" w14:textId="77777777" w:rsidR="00C14E9A" w:rsidRPr="00BC379E" w:rsidRDefault="00C14E9A" w:rsidP="00C14E9A">
            <w:pPr>
              <w:ind w:left="1"/>
              <w:rPr>
                <w:rFonts w:ascii="NTFPreCursivef" w:eastAsia="Times New Roman" w:hAnsi="NTFPreCursivef" w:cs="Arial"/>
                <w:color w:val="000000"/>
              </w:rPr>
            </w:pPr>
          </w:p>
          <w:p w14:paraId="68FDC801" w14:textId="5B403D9B" w:rsidR="00C14E9A" w:rsidRPr="00BC379E" w:rsidRDefault="00C14E9A" w:rsidP="00C14E9A">
            <w:pPr>
              <w:pStyle w:val="ListParagraph"/>
              <w:numPr>
                <w:ilvl w:val="0"/>
                <w:numId w:val="41"/>
              </w:numPr>
              <w:ind w:left="284" w:hanging="283"/>
              <w:rPr>
                <w:rFonts w:ascii="NTFPreCursivef" w:eastAsia="Times New Roman" w:hAnsi="NTFPreCursivef" w:cs="Arial"/>
                <w:color w:val="000000"/>
              </w:rPr>
            </w:pPr>
            <w:r w:rsidRPr="00BC379E">
              <w:rPr>
                <w:rFonts w:ascii="NTFPreCursivef" w:eastAsia="Times New Roman" w:hAnsi="NTFPreCursivef" w:cs="Arial"/>
                <w:color w:val="000000"/>
              </w:rPr>
              <w:t>Shows an understanding of the main points of group discussion.</w:t>
            </w:r>
          </w:p>
          <w:p w14:paraId="4A884EAE" w14:textId="77777777" w:rsidR="00C14E9A" w:rsidRPr="00BC379E" w:rsidRDefault="00C14E9A" w:rsidP="00C14E9A">
            <w:pPr>
              <w:ind w:left="1"/>
              <w:rPr>
                <w:rFonts w:ascii="NTFPreCursivef" w:eastAsia="Times New Roman" w:hAnsi="NTFPreCursivef" w:cs="Arial"/>
                <w:color w:val="000000"/>
              </w:rPr>
            </w:pPr>
          </w:p>
          <w:p w14:paraId="6AEEB743" w14:textId="77777777" w:rsidR="00C14E9A" w:rsidRPr="00BC379E" w:rsidRDefault="00C14E9A" w:rsidP="00C14E9A">
            <w:pPr>
              <w:pStyle w:val="ListParagraph"/>
              <w:numPr>
                <w:ilvl w:val="0"/>
                <w:numId w:val="41"/>
              </w:numPr>
              <w:ind w:left="284" w:hanging="283"/>
              <w:rPr>
                <w:rFonts w:ascii="NTFPreCursivef" w:eastAsia="Times New Roman" w:hAnsi="NTFPreCursivef" w:cs="Arial"/>
                <w:color w:val="000000"/>
              </w:rPr>
            </w:pPr>
            <w:r w:rsidRPr="00BC379E">
              <w:rPr>
                <w:rFonts w:ascii="NTFPreCursivef" w:eastAsia="Times New Roman" w:hAnsi="NTFPreCursivef" w:cs="Arial"/>
                <w:color w:val="000000"/>
              </w:rPr>
              <w:t>Participates in simple role plays and conveys simple ideas about a character through making deliberate choices of speech, gesture and movement during drama performances.</w:t>
            </w:r>
          </w:p>
          <w:p w14:paraId="73B8702C" w14:textId="68AC1B93" w:rsidR="00F85706" w:rsidRPr="00BC379E" w:rsidRDefault="00F85706" w:rsidP="00C14E9A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FPreCursivef" w:hAnsi="NTFPreCursive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B446B1" w14:textId="77777777" w:rsidR="00F85706" w:rsidRPr="00BC379E" w:rsidRDefault="00F85706" w:rsidP="009522C9">
            <w:pPr>
              <w:spacing w:before="120" w:after="120"/>
              <w:rPr>
                <w:rFonts w:ascii="NTFPreCursivef" w:hAnsi="NTFPreCursivef"/>
              </w:rPr>
            </w:pPr>
            <w:r w:rsidRPr="00BC379E">
              <w:rPr>
                <w:rFonts w:ascii="NTFPreCursivef" w:hAnsi="NTFPreCursivef"/>
              </w:rPr>
              <w:t>Pupils should be taught to:</w:t>
            </w:r>
          </w:p>
          <w:p w14:paraId="7008ADC5" w14:textId="77777777" w:rsidR="00F85706" w:rsidRPr="00BC379E" w:rsidRDefault="00F85706" w:rsidP="009522C9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 xml:space="preserve">apply their growing knowledge of root words, prefixes and suffixes (etymology and morphology) as listed in </w:t>
            </w:r>
            <w:hyperlink w:anchor="EnglishAppendix1Spelling" w:history="1">
              <w:hyperlink w:anchor="EnglishAppendix1Spelling" w:history="1">
                <w:r w:rsidRPr="00BC379E">
                  <w:rPr>
                    <w:rStyle w:val="Hyperlink"/>
                    <w:rFonts w:ascii="NTFPreCursivef" w:hAnsi="NTFPreCursivef"/>
                    <w:sz w:val="22"/>
                    <w:szCs w:val="22"/>
                  </w:rPr>
                  <w:t>English Appendix 1</w:t>
                </w:r>
              </w:hyperlink>
            </w:hyperlink>
            <w:r w:rsidRPr="00BC379E">
              <w:rPr>
                <w:rFonts w:ascii="NTFPreCursivef" w:hAnsi="NTFPreCursivef"/>
                <w:sz w:val="22"/>
                <w:szCs w:val="22"/>
              </w:rPr>
              <w:t>, both to read aloud and to understand the meaning of new words they meet</w:t>
            </w:r>
          </w:p>
          <w:p w14:paraId="17FF449F" w14:textId="77777777" w:rsidR="00F85706" w:rsidRPr="00BC379E" w:rsidRDefault="00F85706" w:rsidP="009522C9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read further exception words, noting the unusual correspondences between spelling and sound, and where these occur in the word.</w:t>
            </w:r>
          </w:p>
        </w:tc>
        <w:tc>
          <w:tcPr>
            <w:tcW w:w="5387" w:type="dxa"/>
          </w:tcPr>
          <w:p w14:paraId="36F84A86" w14:textId="77777777" w:rsidR="00F85706" w:rsidRPr="00BC379E" w:rsidRDefault="00F85706" w:rsidP="009522C9">
            <w:pPr>
              <w:spacing w:before="120" w:after="120"/>
              <w:rPr>
                <w:rFonts w:ascii="NTFPreCursivef" w:hAnsi="NTFPreCursivef"/>
              </w:rPr>
            </w:pPr>
            <w:r w:rsidRPr="00BC379E">
              <w:rPr>
                <w:rFonts w:ascii="NTFPreCursivef" w:hAnsi="NTFPreCursivef"/>
              </w:rPr>
              <w:t>Pupils should be taught to:</w:t>
            </w:r>
          </w:p>
          <w:p w14:paraId="6E4FCA72" w14:textId="77777777" w:rsidR="00F85706" w:rsidRPr="00BC379E" w:rsidRDefault="00F85706" w:rsidP="009522C9">
            <w:pPr>
              <w:pStyle w:val="bulletundertext"/>
              <w:spacing w:after="60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develop positive attitudes to reading and understanding of what they read by:</w:t>
            </w:r>
          </w:p>
          <w:p w14:paraId="06167A78" w14:textId="77777777" w:rsidR="00F85706" w:rsidRPr="00BC379E" w:rsidRDefault="00F85706" w:rsidP="00BC379E">
            <w:pPr>
              <w:pStyle w:val="bulletundernumbered"/>
              <w:tabs>
                <w:tab w:val="num" w:pos="466"/>
              </w:tabs>
              <w:spacing w:after="60"/>
              <w:ind w:left="466" w:hanging="283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listening to and discussing a wide range of fiction, poetry, plays, non-fiction and reference books or textbooks</w:t>
            </w:r>
          </w:p>
          <w:p w14:paraId="2764F53C" w14:textId="77777777" w:rsidR="00F85706" w:rsidRPr="00BC379E" w:rsidRDefault="00F85706" w:rsidP="00BC379E">
            <w:pPr>
              <w:pStyle w:val="bulletundernumbered"/>
              <w:tabs>
                <w:tab w:val="num" w:pos="466"/>
              </w:tabs>
              <w:spacing w:after="60"/>
              <w:ind w:left="466" w:hanging="283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reading books that are structured in different ways and reading for a range of purposes</w:t>
            </w:r>
          </w:p>
          <w:p w14:paraId="6720B5A4" w14:textId="77777777" w:rsidR="00F85706" w:rsidRPr="00BC379E" w:rsidRDefault="00F85706" w:rsidP="00BC379E">
            <w:pPr>
              <w:pStyle w:val="bulletundernumbered"/>
              <w:tabs>
                <w:tab w:val="num" w:pos="466"/>
              </w:tabs>
              <w:spacing w:after="60"/>
              <w:ind w:left="466" w:hanging="283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using dictionaries to check the meaning of words that they have read</w:t>
            </w:r>
          </w:p>
          <w:p w14:paraId="6CE55348" w14:textId="77777777" w:rsidR="00F85706" w:rsidRPr="00BC379E" w:rsidRDefault="00F85706" w:rsidP="00BC379E">
            <w:pPr>
              <w:pStyle w:val="bulletundernumbered"/>
              <w:tabs>
                <w:tab w:val="num" w:pos="466"/>
              </w:tabs>
              <w:spacing w:after="60"/>
              <w:ind w:left="466" w:hanging="283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increasing their familiarity with a wide range of books, including fairy stories, myths and legends, and retelling some of these orally</w:t>
            </w:r>
          </w:p>
          <w:p w14:paraId="34B8D0EA" w14:textId="77777777" w:rsidR="00F85706" w:rsidRPr="00BC379E" w:rsidRDefault="00F85706" w:rsidP="00BC379E">
            <w:pPr>
              <w:pStyle w:val="bulletundernumbered"/>
              <w:tabs>
                <w:tab w:val="num" w:pos="466"/>
              </w:tabs>
              <w:spacing w:before="120" w:after="60"/>
              <w:ind w:left="466" w:hanging="283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identifying themes and conventions in a wide range of books preparing poems and play scripts to read aloud and to perform, showing understanding through intonation, tone, volume and action</w:t>
            </w:r>
          </w:p>
          <w:p w14:paraId="3133803E" w14:textId="77777777" w:rsidR="00F85706" w:rsidRPr="00BC379E" w:rsidRDefault="00F85706" w:rsidP="00BC379E">
            <w:pPr>
              <w:pStyle w:val="bulletundernumbered"/>
              <w:tabs>
                <w:tab w:val="num" w:pos="466"/>
              </w:tabs>
              <w:spacing w:after="60"/>
              <w:ind w:left="466" w:hanging="283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discussing words and phrases that capture the reader’s interest and imagination</w:t>
            </w:r>
          </w:p>
          <w:p w14:paraId="1FCB9F32" w14:textId="77777777" w:rsidR="00F85706" w:rsidRPr="00BC379E" w:rsidRDefault="00F85706" w:rsidP="00BC379E">
            <w:pPr>
              <w:pStyle w:val="bulletundernumbered"/>
              <w:tabs>
                <w:tab w:val="num" w:pos="466"/>
              </w:tabs>
              <w:spacing w:after="120"/>
              <w:ind w:left="466" w:hanging="283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recognising some different forms of poetry [for example, free verse, narrative poetry]</w:t>
            </w:r>
          </w:p>
          <w:p w14:paraId="61A6FE61" w14:textId="77777777" w:rsidR="00F85706" w:rsidRPr="00BC379E" w:rsidRDefault="00F85706" w:rsidP="009522C9">
            <w:pPr>
              <w:pStyle w:val="bulletundertext"/>
              <w:spacing w:after="60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understand what they read, in books they can read independently, by:</w:t>
            </w:r>
          </w:p>
          <w:p w14:paraId="5E79B870" w14:textId="77777777" w:rsidR="00F85706" w:rsidRPr="00BC379E" w:rsidRDefault="00F85706" w:rsidP="00BC379E">
            <w:pPr>
              <w:pStyle w:val="bulletundernumbered"/>
              <w:spacing w:after="60"/>
              <w:ind w:left="466" w:hanging="283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checking that the text makes sense to them, discussing their understanding and explaining the meaning of words in context</w:t>
            </w:r>
          </w:p>
          <w:p w14:paraId="7EA57B6C" w14:textId="77777777" w:rsidR="00F85706" w:rsidRPr="00BC379E" w:rsidRDefault="00F85706" w:rsidP="00BC379E">
            <w:pPr>
              <w:pStyle w:val="bulletundernumbered"/>
              <w:spacing w:after="60"/>
              <w:ind w:left="466" w:hanging="283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asking questions to improve their understanding of a text</w:t>
            </w:r>
          </w:p>
          <w:p w14:paraId="2D7CDD2A" w14:textId="77777777" w:rsidR="00F85706" w:rsidRPr="00BC379E" w:rsidRDefault="00F85706" w:rsidP="00BC379E">
            <w:pPr>
              <w:pStyle w:val="bulletundernumbered"/>
              <w:spacing w:after="60"/>
              <w:ind w:left="466" w:hanging="283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drawing inferences such as inferring characters’ feelings, thoughts and motives from their actions, and justifying inferences with evidence</w:t>
            </w:r>
          </w:p>
          <w:p w14:paraId="2A3D62B6" w14:textId="77777777" w:rsidR="00F85706" w:rsidRPr="00BC379E" w:rsidRDefault="00F85706" w:rsidP="00BC379E">
            <w:pPr>
              <w:pStyle w:val="bulletundernumbered"/>
              <w:spacing w:after="60"/>
              <w:ind w:left="466" w:hanging="283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predicting what might happen from details stated and implied</w:t>
            </w:r>
          </w:p>
          <w:p w14:paraId="10009A6A" w14:textId="77777777" w:rsidR="00F85706" w:rsidRPr="00BC379E" w:rsidRDefault="00F85706" w:rsidP="00BC379E">
            <w:pPr>
              <w:pStyle w:val="bulletundernumbered"/>
              <w:spacing w:after="60"/>
              <w:ind w:left="466" w:hanging="283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identifying main ideas drawn from more than one paragraph and summarising these</w:t>
            </w:r>
          </w:p>
          <w:p w14:paraId="02309420" w14:textId="77777777" w:rsidR="00F85706" w:rsidRPr="00BC379E" w:rsidRDefault="00F85706" w:rsidP="00BC379E">
            <w:pPr>
              <w:pStyle w:val="bulletundernumbered"/>
              <w:spacing w:after="120"/>
              <w:ind w:left="466" w:hanging="283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identifying how language, structure, and presentation contribute to meaning</w:t>
            </w:r>
          </w:p>
          <w:p w14:paraId="1CAF4B45" w14:textId="77777777" w:rsidR="00F85706" w:rsidRPr="00BC379E" w:rsidRDefault="00F85706" w:rsidP="009522C9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retrieve and record information from non-fiction</w:t>
            </w:r>
          </w:p>
          <w:p w14:paraId="0BE76007" w14:textId="77777777" w:rsidR="00F85706" w:rsidRPr="00BC379E" w:rsidRDefault="00F85706" w:rsidP="00F85706">
            <w:pPr>
              <w:pStyle w:val="bulletundernumbered"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participate in discussion about both books that are read to them and those they can read for themselves, taking turns and listening to what others say.</w:t>
            </w:r>
          </w:p>
        </w:tc>
        <w:tc>
          <w:tcPr>
            <w:tcW w:w="1984" w:type="dxa"/>
          </w:tcPr>
          <w:p w14:paraId="465B9B60" w14:textId="77777777" w:rsidR="00F85706" w:rsidRPr="00BC379E" w:rsidRDefault="00F85706" w:rsidP="009522C9">
            <w:pPr>
              <w:pStyle w:val="Heading5"/>
              <w:outlineLvl w:val="4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 xml:space="preserve">Spelling (see </w:t>
            </w:r>
            <w:hyperlink w:anchor="EnglishAppendix1Spelling" w:history="1">
              <w:hyperlink w:anchor="EnglishAppendix1Spelling" w:history="1">
                <w:r w:rsidRPr="00BC379E">
                  <w:rPr>
                    <w:rStyle w:val="Hyperlink"/>
                    <w:rFonts w:ascii="NTFPreCursivef" w:hAnsi="NTFPreCursivef" w:cs="Arial"/>
                    <w:sz w:val="22"/>
                    <w:szCs w:val="22"/>
                  </w:rPr>
                  <w:t>English Appendix 1</w:t>
                </w:r>
              </w:hyperlink>
            </w:hyperlink>
            <w:r w:rsidRPr="00BC379E">
              <w:rPr>
                <w:rFonts w:ascii="NTFPreCursivef" w:hAnsi="NTFPreCursivef"/>
                <w:sz w:val="22"/>
                <w:szCs w:val="22"/>
              </w:rPr>
              <w:t>)</w:t>
            </w:r>
          </w:p>
          <w:p w14:paraId="43647982" w14:textId="77777777" w:rsidR="00F85706" w:rsidRPr="00BC379E" w:rsidRDefault="00F85706" w:rsidP="009522C9">
            <w:pPr>
              <w:spacing w:after="120"/>
              <w:rPr>
                <w:rFonts w:ascii="NTFPreCursivef" w:hAnsi="NTFPreCursivef"/>
              </w:rPr>
            </w:pPr>
            <w:r w:rsidRPr="00BC379E">
              <w:rPr>
                <w:rFonts w:ascii="NTFPreCursivef" w:hAnsi="NTFPreCursivef"/>
              </w:rPr>
              <w:t>Pupils should be taught to:</w:t>
            </w:r>
          </w:p>
          <w:p w14:paraId="00963C95" w14:textId="77777777" w:rsidR="00F85706" w:rsidRPr="00BC379E" w:rsidRDefault="00F85706" w:rsidP="009522C9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use further prefixes and suffixes and understand how to add them (English Appendix</w:t>
            </w:r>
            <w:r w:rsidRPr="00BC379E">
              <w:rPr>
                <w:rFonts w:ascii="Cambria" w:hAnsi="Cambria" w:cs="Cambria"/>
                <w:sz w:val="22"/>
                <w:szCs w:val="22"/>
              </w:rPr>
              <w:t> </w:t>
            </w:r>
            <w:r w:rsidRPr="00BC379E">
              <w:rPr>
                <w:rFonts w:ascii="NTFPreCursivef" w:hAnsi="NTFPreCursivef"/>
                <w:sz w:val="22"/>
                <w:szCs w:val="22"/>
              </w:rPr>
              <w:t>1)</w:t>
            </w:r>
          </w:p>
          <w:p w14:paraId="1E9ED721" w14:textId="77777777" w:rsidR="00F85706" w:rsidRPr="00BC379E" w:rsidRDefault="00F85706" w:rsidP="009522C9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spell further homophones</w:t>
            </w:r>
          </w:p>
          <w:p w14:paraId="4EAFCCE7" w14:textId="77777777" w:rsidR="00F85706" w:rsidRPr="00BC379E" w:rsidRDefault="00F85706" w:rsidP="009522C9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spell words that are often misspelt (English Appendix 1)</w:t>
            </w:r>
          </w:p>
          <w:p w14:paraId="49549CEF" w14:textId="77777777" w:rsidR="00F85706" w:rsidRPr="00BC379E" w:rsidRDefault="00F85706" w:rsidP="009522C9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place the possessive apostrophe accurately in words with regular plurals [for example, girls’, boys’] and in words with irregular plurals [for example, children’s]</w:t>
            </w:r>
          </w:p>
          <w:p w14:paraId="4E156B45" w14:textId="77777777" w:rsidR="00F85706" w:rsidRPr="00BC379E" w:rsidRDefault="00F85706" w:rsidP="009522C9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use the first two or three letters of a word to check its spelling in a dictionary</w:t>
            </w:r>
          </w:p>
          <w:p w14:paraId="26C105DE" w14:textId="77777777" w:rsidR="00F85706" w:rsidRPr="00BC379E" w:rsidRDefault="00F85706" w:rsidP="009522C9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write from memory simple sentences, dictated by the teacher, that include words and punctuation taught so far.</w:t>
            </w:r>
          </w:p>
        </w:tc>
        <w:tc>
          <w:tcPr>
            <w:tcW w:w="2410" w:type="dxa"/>
          </w:tcPr>
          <w:p w14:paraId="560ADA48" w14:textId="77777777" w:rsidR="00F85706" w:rsidRPr="00BC379E" w:rsidRDefault="00F85706" w:rsidP="009522C9">
            <w:pPr>
              <w:spacing w:before="120" w:after="120"/>
              <w:rPr>
                <w:rFonts w:ascii="NTFPreCursivef" w:hAnsi="NTFPreCursivef"/>
              </w:rPr>
            </w:pPr>
            <w:r w:rsidRPr="00BC379E">
              <w:rPr>
                <w:rFonts w:ascii="NTFPreCursivef" w:hAnsi="NTFPreCursivef"/>
              </w:rPr>
              <w:t>Pupils should be taught to:</w:t>
            </w:r>
          </w:p>
          <w:p w14:paraId="7964E4AE" w14:textId="77777777" w:rsidR="00F85706" w:rsidRPr="00BC379E" w:rsidRDefault="00F85706" w:rsidP="009522C9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use the diagonal and horizontal strokes that are needed to join letters and understand which letters, when adjacent to one another, are best left unjoined</w:t>
            </w:r>
          </w:p>
          <w:p w14:paraId="2EA5CFF6" w14:textId="77777777" w:rsidR="00F85706" w:rsidRPr="00BC379E" w:rsidRDefault="00F85706" w:rsidP="009522C9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increase the legibility, consistency and quality of their handwriting [for example, by</w:t>
            </w:r>
            <w:bookmarkStart w:id="0" w:name="_GoBack"/>
            <w:bookmarkEnd w:id="0"/>
            <w:r w:rsidRPr="00BC379E">
              <w:rPr>
                <w:rFonts w:ascii="NTFPreCursivef" w:hAnsi="NTFPreCursivef"/>
                <w:sz w:val="22"/>
                <w:szCs w:val="22"/>
              </w:rPr>
              <w:t xml:space="preserve"> ensuring that the downstrokes of letters are parallel and equidistant; that lines of writing are spaced sufficiently so that the ascenders and descenders of letters do not touch].</w:t>
            </w:r>
          </w:p>
        </w:tc>
        <w:tc>
          <w:tcPr>
            <w:tcW w:w="3827" w:type="dxa"/>
          </w:tcPr>
          <w:p w14:paraId="2A27E7CF" w14:textId="77777777" w:rsidR="00F85706" w:rsidRPr="00BC379E" w:rsidRDefault="00F85706" w:rsidP="009522C9">
            <w:pPr>
              <w:keepNext/>
              <w:spacing w:before="120" w:after="120"/>
              <w:rPr>
                <w:rFonts w:ascii="NTFPreCursivef" w:hAnsi="NTFPreCursivef"/>
              </w:rPr>
            </w:pPr>
            <w:r w:rsidRPr="00BC379E">
              <w:rPr>
                <w:rFonts w:ascii="NTFPreCursivef" w:hAnsi="NTFPreCursivef"/>
              </w:rPr>
              <w:t>Pupils should be taught to:</w:t>
            </w:r>
          </w:p>
          <w:p w14:paraId="57F4C910" w14:textId="77777777" w:rsidR="00F85706" w:rsidRPr="00BC379E" w:rsidRDefault="00F85706" w:rsidP="009522C9">
            <w:pPr>
              <w:pStyle w:val="bulletundertext"/>
              <w:keepNext/>
              <w:spacing w:after="60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plan their writing by:</w:t>
            </w:r>
          </w:p>
          <w:p w14:paraId="64D254FC" w14:textId="77777777" w:rsidR="00F85706" w:rsidRPr="00BC379E" w:rsidRDefault="00F85706" w:rsidP="00F85706">
            <w:pPr>
              <w:pStyle w:val="bulletundernumbered"/>
              <w:keepNext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discussing writing similar to that which they are planning to write in order to understand and learn from its structure, vocabulary and grammar</w:t>
            </w:r>
          </w:p>
          <w:p w14:paraId="74133025" w14:textId="77777777" w:rsidR="00F85706" w:rsidRPr="00BC379E" w:rsidRDefault="00F85706" w:rsidP="00F85706">
            <w:pPr>
              <w:pStyle w:val="bulletundernumbered"/>
              <w:keepNext/>
              <w:tabs>
                <w:tab w:val="num" w:pos="924"/>
              </w:tabs>
              <w:spacing w:after="12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discussing and recording ideas</w:t>
            </w:r>
          </w:p>
          <w:p w14:paraId="1F2AEB29" w14:textId="77777777" w:rsidR="00F85706" w:rsidRPr="00BC379E" w:rsidRDefault="00F85706" w:rsidP="009522C9">
            <w:pPr>
              <w:pStyle w:val="bulletundertext"/>
              <w:keepNext/>
              <w:spacing w:after="60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draft and write by:</w:t>
            </w:r>
          </w:p>
          <w:p w14:paraId="4C8C5724" w14:textId="77777777" w:rsidR="00F85706" w:rsidRPr="00BC379E" w:rsidRDefault="00F85706" w:rsidP="00F85706">
            <w:pPr>
              <w:pStyle w:val="bulletundernumbered"/>
              <w:keepNext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composing and rehearsing sentences orally (including dialogue), progressively building a varied and rich vocabulary and an increasing range of sentence structures (</w:t>
            </w:r>
            <w:hyperlink w:anchor="EnglishAppendix2Vocabulary" w:history="1">
              <w:hyperlink w:anchor="EnglishAppendix2Vocabulary" w:history="1">
                <w:r w:rsidRPr="00BC379E">
                  <w:rPr>
                    <w:rStyle w:val="Hyperlink"/>
                    <w:rFonts w:ascii="NTFPreCursivef" w:hAnsi="NTFPreCursivef"/>
                    <w:sz w:val="22"/>
                    <w:szCs w:val="22"/>
                  </w:rPr>
                  <w:t>English Appendix 2</w:t>
                </w:r>
              </w:hyperlink>
            </w:hyperlink>
            <w:r w:rsidRPr="00BC379E">
              <w:rPr>
                <w:rFonts w:ascii="NTFPreCursivef" w:hAnsi="NTFPreCursivef"/>
                <w:sz w:val="22"/>
                <w:szCs w:val="22"/>
              </w:rPr>
              <w:t>)</w:t>
            </w:r>
          </w:p>
          <w:p w14:paraId="3EF7D25A" w14:textId="77777777" w:rsidR="00F85706" w:rsidRPr="00BC379E" w:rsidRDefault="00F85706" w:rsidP="00F85706">
            <w:pPr>
              <w:pStyle w:val="bulletundernumbered"/>
              <w:keepNext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organising paragraphs around a theme</w:t>
            </w:r>
          </w:p>
          <w:p w14:paraId="444D8B1B" w14:textId="77777777" w:rsidR="00F85706" w:rsidRPr="00BC379E" w:rsidRDefault="00F85706" w:rsidP="00F85706">
            <w:pPr>
              <w:pStyle w:val="bulletundernumbered"/>
              <w:keepNext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in narratives, creating settings, characters and plot</w:t>
            </w:r>
          </w:p>
          <w:p w14:paraId="6DDE5E6D" w14:textId="77777777" w:rsidR="00F85706" w:rsidRPr="00BC379E" w:rsidRDefault="00F85706" w:rsidP="00F85706">
            <w:pPr>
              <w:pStyle w:val="bulletundernumbered"/>
              <w:keepNext/>
              <w:tabs>
                <w:tab w:val="num" w:pos="924"/>
              </w:tabs>
              <w:spacing w:after="12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in non-narrative material, using simple organisational devices [for example, headings and sub-headings]</w:t>
            </w:r>
          </w:p>
          <w:p w14:paraId="06D970B7" w14:textId="77777777" w:rsidR="00F85706" w:rsidRPr="00BC379E" w:rsidRDefault="00F85706" w:rsidP="009522C9">
            <w:pPr>
              <w:pStyle w:val="bulletundertext"/>
              <w:keepNext/>
              <w:spacing w:after="60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evaluate and edit by:</w:t>
            </w:r>
          </w:p>
          <w:p w14:paraId="5EC5CC5C" w14:textId="77777777" w:rsidR="00F85706" w:rsidRPr="00BC379E" w:rsidRDefault="00F85706" w:rsidP="00F85706">
            <w:pPr>
              <w:pStyle w:val="bulletundernumbered"/>
              <w:keepNext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assessing the effectiveness of their own and others’ writing and suggesting improvements</w:t>
            </w:r>
          </w:p>
          <w:p w14:paraId="653DC1E2" w14:textId="77777777" w:rsidR="00F85706" w:rsidRPr="00BC379E" w:rsidRDefault="00F85706" w:rsidP="00F85706">
            <w:pPr>
              <w:pStyle w:val="bulletundernumbered"/>
              <w:keepNext/>
              <w:tabs>
                <w:tab w:val="num" w:pos="924"/>
              </w:tabs>
              <w:spacing w:after="12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proposing changes to grammar and vocabulary to improve consistency, including the accurate use of pronouns in sentences</w:t>
            </w:r>
          </w:p>
          <w:p w14:paraId="0D43DA7D" w14:textId="77777777" w:rsidR="00F85706" w:rsidRPr="00BC379E" w:rsidRDefault="00F85706" w:rsidP="009522C9">
            <w:pPr>
              <w:pStyle w:val="bulletundertext"/>
              <w:keepNext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proof-read for spelling and punctuation errors</w:t>
            </w:r>
          </w:p>
          <w:p w14:paraId="7F21A9A6" w14:textId="77777777" w:rsidR="00F85706" w:rsidRPr="00BC379E" w:rsidRDefault="00F85706" w:rsidP="009522C9">
            <w:pPr>
              <w:pStyle w:val="bulletundertext"/>
              <w:keepNext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read aloud their own writing, to a group or the whole class, using appropriate intonation and controlling the tone and volume so that the meaning is clear.</w:t>
            </w:r>
          </w:p>
        </w:tc>
        <w:tc>
          <w:tcPr>
            <w:tcW w:w="3828" w:type="dxa"/>
          </w:tcPr>
          <w:p w14:paraId="49764701" w14:textId="77777777" w:rsidR="00F85706" w:rsidRPr="00BC379E" w:rsidRDefault="00F85706" w:rsidP="009522C9">
            <w:pPr>
              <w:spacing w:before="120" w:after="120"/>
              <w:rPr>
                <w:rFonts w:ascii="NTFPreCursivef" w:hAnsi="NTFPreCursivef"/>
              </w:rPr>
            </w:pPr>
            <w:r w:rsidRPr="00BC379E">
              <w:rPr>
                <w:rFonts w:ascii="NTFPreCursivef" w:hAnsi="NTFPreCursivef"/>
              </w:rPr>
              <w:t>Pupils should be taught to:</w:t>
            </w:r>
          </w:p>
          <w:p w14:paraId="598EDB63" w14:textId="77777777" w:rsidR="00F85706" w:rsidRPr="00BC379E" w:rsidRDefault="00F85706" w:rsidP="009522C9">
            <w:pPr>
              <w:pStyle w:val="bulletundertext"/>
              <w:spacing w:after="60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 xml:space="preserve">develop their understanding of the concepts set out in </w:t>
            </w:r>
            <w:hyperlink w:anchor="EnglishAppendix2Vocabulary" w:history="1">
              <w:hyperlink w:anchor="EnglishAppendix2Vocabulary" w:history="1">
                <w:r w:rsidRPr="00BC379E">
                  <w:rPr>
                    <w:rStyle w:val="Hyperlink"/>
                    <w:rFonts w:ascii="NTFPreCursivef" w:hAnsi="NTFPreCursivef"/>
                    <w:sz w:val="22"/>
                    <w:szCs w:val="22"/>
                  </w:rPr>
                  <w:t>English Appendix 2</w:t>
                </w:r>
              </w:hyperlink>
            </w:hyperlink>
            <w:r w:rsidRPr="00BC379E">
              <w:rPr>
                <w:rFonts w:ascii="NTFPreCursivef" w:hAnsi="NTFPreCursivef"/>
                <w:sz w:val="22"/>
                <w:szCs w:val="22"/>
              </w:rPr>
              <w:t xml:space="preserve"> by:</w:t>
            </w:r>
          </w:p>
          <w:p w14:paraId="58833FA0" w14:textId="77777777" w:rsidR="00F85706" w:rsidRPr="00BC379E" w:rsidRDefault="00F85706" w:rsidP="00F85706">
            <w:pPr>
              <w:pStyle w:val="bulletundernumbered"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 xml:space="preserve">extending the range of sentences with more than one clause by using a wider range of conjunctions, including </w:t>
            </w:r>
            <w:r w:rsidRPr="00BC379E">
              <w:rPr>
                <w:rFonts w:ascii="NTFPreCursivef" w:hAnsi="NTFPreCursivef"/>
                <w:iCs/>
                <w:sz w:val="22"/>
                <w:szCs w:val="22"/>
              </w:rPr>
              <w:t>when</w:t>
            </w:r>
            <w:r w:rsidRPr="00BC379E">
              <w:rPr>
                <w:rFonts w:ascii="NTFPreCursivef" w:hAnsi="NTFPreCursivef"/>
                <w:sz w:val="22"/>
                <w:szCs w:val="22"/>
              </w:rPr>
              <w:t>,</w:t>
            </w:r>
            <w:r w:rsidRPr="00BC379E">
              <w:rPr>
                <w:rFonts w:ascii="NTFPreCursivef" w:hAnsi="NTFPreCursivef"/>
                <w:iCs/>
                <w:sz w:val="22"/>
                <w:szCs w:val="22"/>
              </w:rPr>
              <w:t xml:space="preserve"> if</w:t>
            </w:r>
            <w:r w:rsidRPr="00BC379E">
              <w:rPr>
                <w:rFonts w:ascii="NTFPreCursivef" w:hAnsi="NTFPreCursivef"/>
                <w:sz w:val="22"/>
                <w:szCs w:val="22"/>
              </w:rPr>
              <w:t>,</w:t>
            </w:r>
            <w:r w:rsidRPr="00BC379E">
              <w:rPr>
                <w:rFonts w:ascii="NTFPreCursivef" w:hAnsi="NTFPreCursivef"/>
                <w:iCs/>
                <w:sz w:val="22"/>
                <w:szCs w:val="22"/>
              </w:rPr>
              <w:t xml:space="preserve"> because</w:t>
            </w:r>
            <w:r w:rsidRPr="00BC379E">
              <w:rPr>
                <w:rFonts w:ascii="NTFPreCursivef" w:hAnsi="NTFPreCursivef"/>
                <w:sz w:val="22"/>
                <w:szCs w:val="22"/>
              </w:rPr>
              <w:t>,</w:t>
            </w:r>
            <w:r w:rsidRPr="00BC379E">
              <w:rPr>
                <w:rFonts w:ascii="NTFPreCursivef" w:hAnsi="NTFPreCursivef"/>
                <w:iCs/>
                <w:sz w:val="22"/>
                <w:szCs w:val="22"/>
              </w:rPr>
              <w:t xml:space="preserve"> although</w:t>
            </w:r>
          </w:p>
          <w:p w14:paraId="3E2CD516" w14:textId="77777777" w:rsidR="00F85706" w:rsidRPr="00BC379E" w:rsidRDefault="00F85706" w:rsidP="00F85706">
            <w:pPr>
              <w:pStyle w:val="bulletundernumbered"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using the present perfect form of verbs in contrast to the past tense</w:t>
            </w:r>
          </w:p>
          <w:p w14:paraId="58F77F6A" w14:textId="77777777" w:rsidR="00F85706" w:rsidRPr="00BC379E" w:rsidRDefault="00F85706" w:rsidP="00F85706">
            <w:pPr>
              <w:pStyle w:val="bulletundernumbered"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choosing nouns or pronouns appropriately for clarity and cohesion and to avoid repetition</w:t>
            </w:r>
          </w:p>
          <w:p w14:paraId="29DFD7DB" w14:textId="77777777" w:rsidR="00F85706" w:rsidRPr="00BC379E" w:rsidRDefault="00F85706" w:rsidP="00F85706">
            <w:pPr>
              <w:pStyle w:val="bulletundernumbered"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using conjunctions, adverbs and prepositions to express time and cause</w:t>
            </w:r>
          </w:p>
          <w:p w14:paraId="0B68B7F1" w14:textId="77777777" w:rsidR="00F85706" w:rsidRPr="00BC379E" w:rsidRDefault="00F85706" w:rsidP="00F85706">
            <w:pPr>
              <w:pStyle w:val="bulletundernumbered"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using fronted adverbials</w:t>
            </w:r>
          </w:p>
          <w:p w14:paraId="4B6541B0" w14:textId="77777777" w:rsidR="00F85706" w:rsidRPr="00BC379E" w:rsidRDefault="00F85706" w:rsidP="00F85706">
            <w:pPr>
              <w:pStyle w:val="bulletundernumbered"/>
              <w:tabs>
                <w:tab w:val="num" w:pos="924"/>
              </w:tabs>
              <w:spacing w:after="12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learning the grammar for years 3 and 4 in English Appendix 2</w:t>
            </w:r>
          </w:p>
          <w:p w14:paraId="0695CC11" w14:textId="77777777" w:rsidR="00F85706" w:rsidRPr="00BC379E" w:rsidRDefault="00F85706" w:rsidP="009522C9">
            <w:pPr>
              <w:pStyle w:val="bulletundertext"/>
              <w:spacing w:after="60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indicate grammatical and other features by:</w:t>
            </w:r>
          </w:p>
          <w:p w14:paraId="3BC25476" w14:textId="77777777" w:rsidR="00F85706" w:rsidRPr="00BC379E" w:rsidRDefault="00F85706" w:rsidP="00F85706">
            <w:pPr>
              <w:pStyle w:val="bulletundernumbered"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using commas after fronted adverbials</w:t>
            </w:r>
          </w:p>
          <w:p w14:paraId="292EF3C2" w14:textId="77777777" w:rsidR="00F85706" w:rsidRPr="00BC379E" w:rsidRDefault="00F85706" w:rsidP="00F85706">
            <w:pPr>
              <w:pStyle w:val="bulletundernumbered"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indicating possession by using the possessive apostrophe with plural nouns</w:t>
            </w:r>
          </w:p>
          <w:p w14:paraId="094A187F" w14:textId="77777777" w:rsidR="00F85706" w:rsidRPr="00BC379E" w:rsidRDefault="00F85706" w:rsidP="00F85706">
            <w:pPr>
              <w:pStyle w:val="bulletundernumbered"/>
              <w:tabs>
                <w:tab w:val="num" w:pos="924"/>
              </w:tabs>
              <w:spacing w:after="12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using and punctuating direct speech</w:t>
            </w:r>
          </w:p>
          <w:p w14:paraId="7A9A6A65" w14:textId="77777777" w:rsidR="00F85706" w:rsidRPr="00BC379E" w:rsidRDefault="00F85706" w:rsidP="00F85706">
            <w:pPr>
              <w:pStyle w:val="bulletundernumbered"/>
              <w:tabs>
                <w:tab w:val="num" w:pos="924"/>
              </w:tabs>
              <w:spacing w:after="12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use and understand the grammatical terminology in English Appendix 2 accurately and appropriately when discussing their writing and reading.</w:t>
            </w:r>
          </w:p>
        </w:tc>
      </w:tr>
    </w:tbl>
    <w:p w14:paraId="54D33975" w14:textId="0EEB809E" w:rsidR="003B0A91" w:rsidRPr="003B0A91" w:rsidRDefault="003B0A91" w:rsidP="008A013E">
      <w:pPr>
        <w:tabs>
          <w:tab w:val="left" w:pos="1373"/>
        </w:tabs>
        <w:rPr>
          <w:sz w:val="16"/>
          <w:szCs w:val="16"/>
        </w:rPr>
      </w:pPr>
    </w:p>
    <w:sectPr w:rsidR="003B0A91" w:rsidRPr="003B0A91" w:rsidSect="00E82C5D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942C7" w14:textId="77777777" w:rsidR="009522C9" w:rsidRDefault="009522C9" w:rsidP="00F008BE">
      <w:pPr>
        <w:spacing w:after="0" w:line="240" w:lineRule="auto"/>
      </w:pPr>
      <w:r>
        <w:separator/>
      </w:r>
    </w:p>
  </w:endnote>
  <w:endnote w:type="continuationSeparator" w:id="0">
    <w:p w14:paraId="459B48BF" w14:textId="77777777" w:rsidR="009522C9" w:rsidRDefault="009522C9" w:rsidP="00F0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B8907" w14:textId="77777777" w:rsidR="009522C9" w:rsidRDefault="009522C9" w:rsidP="00F008BE">
      <w:pPr>
        <w:spacing w:after="0" w:line="240" w:lineRule="auto"/>
      </w:pPr>
      <w:r>
        <w:separator/>
      </w:r>
    </w:p>
  </w:footnote>
  <w:footnote w:type="continuationSeparator" w:id="0">
    <w:p w14:paraId="6F2F5FF5" w14:textId="77777777" w:rsidR="009522C9" w:rsidRDefault="009522C9" w:rsidP="00F00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C60CE"/>
    <w:multiLevelType w:val="hybridMultilevel"/>
    <w:tmpl w:val="D15E9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-483"/>
        </w:tabs>
        <w:ind w:left="-483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810" w:hanging="360"/>
      </w:pPr>
      <w:rPr>
        <w:rFonts w:ascii="Arial" w:eastAsia="Times New Roman" w:hAnsi="Arial" w:cs="Times New Roman" w:hint="default"/>
      </w:rPr>
    </w:lvl>
    <w:lvl w:ilvl="2" w:tplc="FFFFFFFF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3CDE4249"/>
    <w:multiLevelType w:val="hybridMultilevel"/>
    <w:tmpl w:val="60B464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0"/>
  </w:num>
  <w:num w:numId="15">
    <w:abstractNumId w:val="0"/>
  </w:num>
  <w:num w:numId="16">
    <w:abstractNumId w:val="2"/>
  </w:num>
  <w:num w:numId="17">
    <w:abstractNumId w:val="2"/>
  </w:num>
  <w:num w:numId="18">
    <w:abstractNumId w:val="0"/>
  </w:num>
  <w:num w:numId="19">
    <w:abstractNumId w:val="0"/>
  </w:num>
  <w:num w:numId="20">
    <w:abstractNumId w:val="2"/>
  </w:num>
  <w:num w:numId="21">
    <w:abstractNumId w:val="0"/>
  </w:num>
  <w:num w:numId="22">
    <w:abstractNumId w:val="2"/>
  </w:num>
  <w:num w:numId="23">
    <w:abstractNumId w:val="0"/>
  </w:num>
  <w:num w:numId="24">
    <w:abstractNumId w:val="0"/>
  </w:num>
  <w:num w:numId="25">
    <w:abstractNumId w:val="0"/>
  </w:num>
  <w:num w:numId="26">
    <w:abstractNumId w:val="2"/>
  </w:num>
  <w:num w:numId="27">
    <w:abstractNumId w:val="0"/>
  </w:num>
  <w:num w:numId="28">
    <w:abstractNumId w:val="0"/>
  </w:num>
  <w:num w:numId="29">
    <w:abstractNumId w:val="2"/>
  </w:num>
  <w:num w:numId="30">
    <w:abstractNumId w:val="0"/>
  </w:num>
  <w:num w:numId="31">
    <w:abstractNumId w:val="0"/>
  </w:num>
  <w:num w:numId="32">
    <w:abstractNumId w:val="2"/>
  </w:num>
  <w:num w:numId="33">
    <w:abstractNumId w:val="0"/>
  </w:num>
  <w:num w:numId="34">
    <w:abstractNumId w:val="0"/>
  </w:num>
  <w:num w:numId="35">
    <w:abstractNumId w:val="2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2"/>
  </w:num>
  <w:num w:numId="4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3E"/>
    <w:rsid w:val="000556EF"/>
    <w:rsid w:val="000A1F28"/>
    <w:rsid w:val="000B43C8"/>
    <w:rsid w:val="000B7A0F"/>
    <w:rsid w:val="0010403B"/>
    <w:rsid w:val="00124C01"/>
    <w:rsid w:val="00172935"/>
    <w:rsid w:val="001B4549"/>
    <w:rsid w:val="001C48EB"/>
    <w:rsid w:val="001D29E3"/>
    <w:rsid w:val="00205C81"/>
    <w:rsid w:val="002237DF"/>
    <w:rsid w:val="0023197E"/>
    <w:rsid w:val="00240ADD"/>
    <w:rsid w:val="002E3509"/>
    <w:rsid w:val="0031610B"/>
    <w:rsid w:val="0032609A"/>
    <w:rsid w:val="00355F7D"/>
    <w:rsid w:val="00367B0A"/>
    <w:rsid w:val="003717BE"/>
    <w:rsid w:val="003A19C1"/>
    <w:rsid w:val="003B0A91"/>
    <w:rsid w:val="003B2D51"/>
    <w:rsid w:val="004230F9"/>
    <w:rsid w:val="0046433D"/>
    <w:rsid w:val="004C2D96"/>
    <w:rsid w:val="004E76E6"/>
    <w:rsid w:val="004F16FD"/>
    <w:rsid w:val="00564638"/>
    <w:rsid w:val="00573660"/>
    <w:rsid w:val="005834E5"/>
    <w:rsid w:val="00583B52"/>
    <w:rsid w:val="005B0264"/>
    <w:rsid w:val="005C4EE8"/>
    <w:rsid w:val="005C7E24"/>
    <w:rsid w:val="005E0975"/>
    <w:rsid w:val="005F66EE"/>
    <w:rsid w:val="006219DE"/>
    <w:rsid w:val="00674B9E"/>
    <w:rsid w:val="00690145"/>
    <w:rsid w:val="00691BAF"/>
    <w:rsid w:val="00696608"/>
    <w:rsid w:val="006F6719"/>
    <w:rsid w:val="00725D68"/>
    <w:rsid w:val="00740A9A"/>
    <w:rsid w:val="00741C13"/>
    <w:rsid w:val="00744DAD"/>
    <w:rsid w:val="0075387E"/>
    <w:rsid w:val="007F659D"/>
    <w:rsid w:val="00837AA2"/>
    <w:rsid w:val="00863F1C"/>
    <w:rsid w:val="00890E5B"/>
    <w:rsid w:val="00892CB6"/>
    <w:rsid w:val="008A013E"/>
    <w:rsid w:val="008A018F"/>
    <w:rsid w:val="009522C9"/>
    <w:rsid w:val="00963852"/>
    <w:rsid w:val="00976777"/>
    <w:rsid w:val="009F5D8B"/>
    <w:rsid w:val="00A352AF"/>
    <w:rsid w:val="00A86472"/>
    <w:rsid w:val="00AB03C0"/>
    <w:rsid w:val="00AF7521"/>
    <w:rsid w:val="00B06A31"/>
    <w:rsid w:val="00B55CA5"/>
    <w:rsid w:val="00B61C8F"/>
    <w:rsid w:val="00BC379E"/>
    <w:rsid w:val="00BD660A"/>
    <w:rsid w:val="00BE53E3"/>
    <w:rsid w:val="00C14E9A"/>
    <w:rsid w:val="00C15040"/>
    <w:rsid w:val="00C23AC0"/>
    <w:rsid w:val="00C4777F"/>
    <w:rsid w:val="00C75C4B"/>
    <w:rsid w:val="00CB7C71"/>
    <w:rsid w:val="00CE0054"/>
    <w:rsid w:val="00CF3D4F"/>
    <w:rsid w:val="00D04574"/>
    <w:rsid w:val="00D312A3"/>
    <w:rsid w:val="00D51258"/>
    <w:rsid w:val="00D779A0"/>
    <w:rsid w:val="00DF11A7"/>
    <w:rsid w:val="00E02006"/>
    <w:rsid w:val="00E35895"/>
    <w:rsid w:val="00E766B8"/>
    <w:rsid w:val="00E82C5D"/>
    <w:rsid w:val="00EA0C84"/>
    <w:rsid w:val="00EA2C91"/>
    <w:rsid w:val="00EA5631"/>
    <w:rsid w:val="00EC2E94"/>
    <w:rsid w:val="00F008BE"/>
    <w:rsid w:val="00F021F6"/>
    <w:rsid w:val="00F57EFA"/>
    <w:rsid w:val="00F707C2"/>
    <w:rsid w:val="00F8294C"/>
    <w:rsid w:val="00F85706"/>
    <w:rsid w:val="00F93878"/>
    <w:rsid w:val="00FD3FCD"/>
    <w:rsid w:val="00FE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  <w14:docId w14:val="02D80940"/>
  <w15:docId w15:val="{FAA2314E-21DE-4C84-98A9-5A9E4140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B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367B0A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/>
      <w:i w:val="0"/>
      <w:color w:val="auto"/>
      <w:sz w:val="24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13E"/>
    <w:pPr>
      <w:spacing w:after="0" w:line="240" w:lineRule="auto"/>
    </w:pPr>
  </w:style>
  <w:style w:type="table" w:styleId="TableGrid">
    <w:name w:val="Table Grid"/>
    <w:basedOn w:val="TableNormal"/>
    <w:uiPriority w:val="59"/>
    <w:rsid w:val="008A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6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BE"/>
  </w:style>
  <w:style w:type="paragraph" w:styleId="Footer">
    <w:name w:val="footer"/>
    <w:basedOn w:val="Normal"/>
    <w:link w:val="FooterChar"/>
    <w:uiPriority w:val="99"/>
    <w:unhideWhenUsed/>
    <w:rsid w:val="00F00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BE"/>
  </w:style>
  <w:style w:type="paragraph" w:styleId="BalloonText">
    <w:name w:val="Balloon Text"/>
    <w:basedOn w:val="Normal"/>
    <w:link w:val="BalloonTextChar"/>
    <w:uiPriority w:val="99"/>
    <w:semiHidden/>
    <w:unhideWhenUsed/>
    <w:rsid w:val="00E0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06"/>
    <w:rPr>
      <w:rFonts w:ascii="Tahoma" w:hAnsi="Tahoma" w:cs="Tahoma"/>
      <w:sz w:val="16"/>
      <w:szCs w:val="16"/>
    </w:rPr>
  </w:style>
  <w:style w:type="paragraph" w:customStyle="1" w:styleId="bulletundertext">
    <w:name w:val="bullet (under text)"/>
    <w:rsid w:val="00F93878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bulletundernumbered">
    <w:name w:val="bullet (under numbered)"/>
    <w:rsid w:val="006219DE"/>
    <w:pPr>
      <w:numPr>
        <w:numId w:val="4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67B0A"/>
    <w:rPr>
      <w:rFonts w:ascii="Arial" w:eastAsia="Times New Roman" w:hAnsi="Arial" w:cs="Times New Roman"/>
      <w:b/>
      <w:iCs/>
      <w:sz w:val="24"/>
      <w:szCs w:val="26"/>
      <w:lang w:eastAsia="en-US"/>
    </w:rPr>
  </w:style>
  <w:style w:type="character" w:styleId="Hyperlink">
    <w:name w:val="Hyperlink"/>
    <w:semiHidden/>
    <w:unhideWhenUsed/>
    <w:rsid w:val="00367B0A"/>
    <w:rPr>
      <w:rFonts w:ascii="Arial" w:hAnsi="Arial" w:cs="Times New Roman" w:hint="default"/>
      <w:color w:val="104F75"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B0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583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B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B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B5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05C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97130-C99D-4F9A-80B3-AFBB5E44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Claire Andrews</cp:lastModifiedBy>
  <cp:revision>11</cp:revision>
  <cp:lastPrinted>2014-01-22T21:07:00Z</cp:lastPrinted>
  <dcterms:created xsi:type="dcterms:W3CDTF">2014-03-11T12:57:00Z</dcterms:created>
  <dcterms:modified xsi:type="dcterms:W3CDTF">2020-05-21T14:34:00Z</dcterms:modified>
</cp:coreProperties>
</file>